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黑体" w:cs="Times New Roman"/>
          <w:b w:val="0"/>
          <w:bCs w:val="0"/>
          <w:sz w:val="32"/>
          <w:szCs w:val="32"/>
          <w:lang w:val="en-US" w:eastAsia="zh-CN"/>
        </w:rPr>
      </w:pPr>
      <w:bookmarkStart w:id="0" w:name="_GoBack"/>
      <w:bookmarkEnd w:id="0"/>
      <w:r>
        <w:rPr>
          <w:rFonts w:hint="default" w:ascii="Times New Roman" w:hAnsi="Times New Roman" w:eastAsia="黑体" w:cs="Times New Roman"/>
          <w:b w:val="0"/>
          <w:bCs w:val="0"/>
          <w:sz w:val="32"/>
          <w:szCs w:val="32"/>
          <w:lang w:val="en-US" w:eastAsia="zh-CN"/>
        </w:rPr>
        <w:t>附件</w:t>
      </w:r>
      <w:r>
        <w:rPr>
          <w:rFonts w:hint="eastAsia" w:ascii="Times New Roman" w:hAnsi="Times New Roman" w:eastAsia="黑体" w:cs="Times New Roman"/>
          <w:b w:val="0"/>
          <w:bCs w:val="0"/>
          <w:sz w:val="32"/>
          <w:szCs w:val="32"/>
          <w:lang w:val="en-US" w:eastAsia="zh-CN"/>
        </w:rPr>
        <w:t>3</w:t>
      </w:r>
    </w:p>
    <w:p>
      <w:pPr>
        <w:keepNext w:val="0"/>
        <w:keepLines w:val="0"/>
        <w:pageBreakBefore w:val="0"/>
        <w:widowControl/>
        <w:kinsoku/>
        <w:wordWrap/>
        <w:overflowPunct/>
        <w:topLinePunct w:val="0"/>
        <w:autoSpaceDE/>
        <w:autoSpaceDN/>
        <w:bidi w:val="0"/>
        <w:spacing w:line="580" w:lineRule="exact"/>
        <w:ind w:firstLine="0" w:firstLineChars="0"/>
        <w:jc w:val="center"/>
        <w:textAlignment w:val="auto"/>
        <w:rPr>
          <w:rFonts w:hint="eastAsia" w:ascii="宋体" w:hAnsi="宋体" w:cs="宋体"/>
          <w:b/>
          <w:kern w:val="0"/>
          <w:sz w:val="44"/>
          <w:szCs w:val="44"/>
          <w:highlight w:val="none"/>
          <w:lang w:eastAsia="zh-CN"/>
        </w:rPr>
      </w:pPr>
      <w:r>
        <w:rPr>
          <w:rFonts w:hint="eastAsia" w:ascii="宋体" w:hAnsi="宋体" w:cs="宋体"/>
          <w:b/>
          <w:kern w:val="0"/>
          <w:sz w:val="44"/>
          <w:szCs w:val="44"/>
          <w:highlight w:val="none"/>
          <w:lang w:eastAsia="zh-CN"/>
        </w:rPr>
        <w:t>相关规则修改对照表</w:t>
      </w:r>
    </w:p>
    <w:p>
      <w:pPr>
        <w:keepNext w:val="0"/>
        <w:keepLines w:val="0"/>
        <w:pageBreakBefore w:val="0"/>
        <w:widowControl/>
        <w:kinsoku/>
        <w:wordWrap/>
        <w:overflowPunct/>
        <w:topLinePunct w:val="0"/>
        <w:autoSpaceDE/>
        <w:autoSpaceDN/>
        <w:bidi w:val="0"/>
        <w:spacing w:line="580" w:lineRule="exact"/>
        <w:ind w:firstLine="0" w:firstLineChars="0"/>
        <w:jc w:val="center"/>
        <w:textAlignment w:val="auto"/>
        <w:rPr>
          <w:rFonts w:hint="eastAsia" w:ascii="宋体" w:hAnsi="宋体" w:cs="宋体"/>
          <w:b/>
          <w:kern w:val="0"/>
          <w:sz w:val="44"/>
          <w:szCs w:val="44"/>
          <w:highlight w:val="none"/>
          <w:lang w:eastAsia="zh-CN"/>
        </w:rPr>
      </w:pPr>
    </w:p>
    <w:p>
      <w:pPr>
        <w:keepNext w:val="0"/>
        <w:keepLines w:val="0"/>
        <w:pageBreakBefore w:val="0"/>
        <w:widowControl/>
        <w:kinsoku/>
        <w:wordWrap/>
        <w:overflowPunct/>
        <w:topLinePunct w:val="0"/>
        <w:autoSpaceDE/>
        <w:autoSpaceDN/>
        <w:bidi w:val="0"/>
        <w:spacing w:line="580" w:lineRule="exact"/>
        <w:ind w:firstLine="0" w:firstLineChars="0"/>
        <w:jc w:val="center"/>
        <w:textAlignment w:val="auto"/>
        <w:rPr>
          <w:rFonts w:hint="eastAsia" w:ascii="宋体" w:hAnsi="宋体" w:eastAsia="宋体" w:cs="宋体"/>
          <w:b/>
          <w:kern w:val="0"/>
          <w:sz w:val="44"/>
          <w:szCs w:val="44"/>
          <w:highlight w:val="none"/>
          <w:lang w:eastAsia="zh-CN"/>
        </w:rPr>
      </w:pPr>
      <w:r>
        <w:rPr>
          <w:rFonts w:hint="eastAsia" w:ascii="宋体" w:hAnsi="宋体" w:cs="宋体"/>
          <w:b/>
          <w:kern w:val="0"/>
          <w:sz w:val="44"/>
          <w:szCs w:val="44"/>
          <w:highlight w:val="none"/>
          <w:lang w:eastAsia="zh-CN"/>
        </w:rPr>
        <w:t>一、《</w:t>
      </w:r>
      <w:r>
        <w:rPr>
          <w:rFonts w:hint="eastAsia" w:ascii="宋体" w:hAnsi="宋体" w:eastAsia="宋体" w:cs="宋体"/>
          <w:b/>
          <w:kern w:val="0"/>
          <w:sz w:val="44"/>
          <w:szCs w:val="44"/>
          <w:highlight w:val="none"/>
          <w:lang w:eastAsia="zh-CN"/>
        </w:rPr>
        <w:t>大连商品交易所</w:t>
      </w:r>
      <w:r>
        <w:rPr>
          <w:rFonts w:hint="eastAsia" w:ascii="宋体" w:hAnsi="宋体" w:cs="宋体"/>
          <w:b/>
          <w:kern w:val="0"/>
          <w:sz w:val="44"/>
          <w:szCs w:val="44"/>
          <w:highlight w:val="none"/>
          <w:lang w:eastAsia="zh-CN"/>
        </w:rPr>
        <w:t>焦煤</w:t>
      </w:r>
      <w:r>
        <w:rPr>
          <w:rFonts w:hint="eastAsia" w:ascii="宋体" w:hAnsi="宋体" w:eastAsia="宋体" w:cs="宋体"/>
          <w:b/>
          <w:kern w:val="0"/>
          <w:sz w:val="44"/>
          <w:szCs w:val="44"/>
          <w:highlight w:val="none"/>
          <w:lang w:eastAsia="zh-CN"/>
        </w:rPr>
        <w:t>期货合约</w:t>
      </w:r>
      <w:r>
        <w:rPr>
          <w:rFonts w:hint="eastAsia" w:ascii="宋体" w:hAnsi="宋体" w:cs="宋体"/>
          <w:b/>
          <w:kern w:val="0"/>
          <w:sz w:val="44"/>
          <w:szCs w:val="44"/>
          <w:highlight w:val="none"/>
          <w:lang w:eastAsia="zh-CN"/>
        </w:rPr>
        <w:t>》</w:t>
      </w:r>
      <w:r>
        <w:rPr>
          <w:rFonts w:hint="eastAsia" w:ascii="宋体" w:hAnsi="宋体" w:eastAsia="宋体" w:cs="宋体"/>
          <w:b/>
          <w:kern w:val="0"/>
          <w:sz w:val="44"/>
          <w:szCs w:val="44"/>
          <w:highlight w:val="none"/>
          <w:lang w:eastAsia="zh-CN"/>
        </w:rPr>
        <w:t>修改对照表</w:t>
      </w:r>
    </w:p>
    <w:p>
      <w:pPr>
        <w:keepNext w:val="0"/>
        <w:keepLines w:val="0"/>
        <w:pageBreakBefore w:val="0"/>
        <w:widowControl/>
        <w:kinsoku/>
        <w:wordWrap/>
        <w:overflowPunct/>
        <w:topLinePunct w:val="0"/>
        <w:autoSpaceDE/>
        <w:autoSpaceDN/>
        <w:bidi w:val="0"/>
        <w:adjustRightInd/>
        <w:snapToGrid/>
        <w:spacing w:after="157" w:afterLines="50" w:line="580" w:lineRule="exact"/>
        <w:ind w:firstLine="0" w:firstLineChars="0"/>
        <w:jc w:val="center"/>
        <w:textAlignment w:val="auto"/>
        <w:rPr>
          <w:rFonts w:ascii="黑体" w:hAnsi="黑体" w:eastAsia="黑体" w:cs="Calibri"/>
          <w:b/>
          <w:kern w:val="0"/>
          <w:sz w:val="21"/>
          <w:szCs w:val="32"/>
          <w:highlight w:val="none"/>
        </w:rPr>
      </w:pPr>
      <w:r>
        <w:rPr>
          <w:rFonts w:hint="eastAsia" w:ascii="仿宋_GB2312" w:hAnsi="仿宋_GB2312" w:eastAsia="仿宋_GB2312" w:cs="仿宋_GB2312"/>
          <w:kern w:val="0"/>
          <w:sz w:val="28"/>
          <w:szCs w:val="28"/>
          <w:highlight w:val="none"/>
          <w:lang w:val="en-US" w:eastAsia="zh-CN"/>
        </w:rPr>
        <w:t>（</w:t>
      </w:r>
      <w:r>
        <w:rPr>
          <w:rFonts w:hint="eastAsia" w:ascii="仿宋" w:hAnsi="仿宋" w:eastAsia="仿宋" w:cs="仿宋"/>
          <w:sz w:val="28"/>
          <w:szCs w:val="28"/>
          <w:lang w:eastAsia="zh-CN"/>
        </w:rPr>
        <w:t>注：</w:t>
      </w:r>
      <w:r>
        <w:rPr>
          <w:rFonts w:hint="eastAsia" w:ascii="仿宋_GB2312" w:hAnsi="仿宋_GB2312" w:eastAsia="仿宋_GB2312" w:cs="仿宋_GB2312"/>
          <w:kern w:val="0"/>
          <w:sz w:val="28"/>
          <w:szCs w:val="28"/>
          <w:highlight w:val="none"/>
          <w:lang w:val="en-US" w:eastAsia="zh-CN"/>
        </w:rPr>
        <w:t>阴影部分为新增内容，双划线部分为删除内容）</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0"/>
        <w:gridCol w:w="6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1" w:type="dxa"/>
            <w:noWrap w:val="0"/>
            <w:vAlign w:val="top"/>
          </w:tcPr>
          <w:p>
            <w:pPr>
              <w:keepNext w:val="0"/>
              <w:keepLines w:val="0"/>
              <w:suppressLineNumbers w:val="0"/>
              <w:spacing w:before="0" w:beforeAutospacing="0" w:after="0" w:afterAutospacing="0" w:line="580" w:lineRule="exact"/>
              <w:ind w:left="0" w:leftChars="0" w:right="0" w:firstLine="0" w:firstLineChars="0"/>
              <w:jc w:val="center"/>
              <w:rPr>
                <w:rFonts w:hint="default" w:ascii="Times New Roman" w:hAnsi="Times New Roman" w:eastAsia="仿宋_GB2312" w:cs="仿宋_GB2312"/>
                <w:kern w:val="2"/>
                <w:sz w:val="32"/>
                <w:szCs w:val="32"/>
                <w:vertAlign w:val="baseline"/>
                <w:lang w:val="en-US" w:eastAsia="zh-CN"/>
              </w:rPr>
            </w:pPr>
            <w:r>
              <w:rPr>
                <w:rFonts w:hint="eastAsia" w:ascii="Times New Roman" w:hAnsi="Times New Roman" w:eastAsia="仿宋_GB2312" w:cs="仿宋_GB2312"/>
                <w:kern w:val="2"/>
                <w:sz w:val="32"/>
                <w:szCs w:val="32"/>
                <w:vertAlign w:val="baseline"/>
                <w:lang w:val="en-US" w:eastAsia="zh-CN"/>
              </w:rPr>
              <w:t>原条文</w:t>
            </w:r>
          </w:p>
        </w:tc>
        <w:tc>
          <w:tcPr>
            <w:tcW w:w="6592" w:type="dxa"/>
            <w:noWrap w:val="0"/>
            <w:vAlign w:val="top"/>
          </w:tcPr>
          <w:p>
            <w:pPr>
              <w:keepNext w:val="0"/>
              <w:keepLines w:val="0"/>
              <w:suppressLineNumbers w:val="0"/>
              <w:spacing w:before="0" w:beforeAutospacing="0" w:after="0" w:afterAutospacing="0" w:line="580" w:lineRule="exact"/>
              <w:ind w:left="0" w:leftChars="0" w:right="0" w:firstLine="0" w:firstLineChars="0"/>
              <w:jc w:val="center"/>
              <w:rPr>
                <w:rFonts w:hint="default" w:ascii="Times New Roman" w:hAnsi="Times New Roman" w:eastAsia="仿宋_GB2312" w:cs="仿宋_GB2312"/>
                <w:kern w:val="2"/>
                <w:sz w:val="32"/>
                <w:szCs w:val="32"/>
                <w:vertAlign w:val="baseline"/>
                <w:lang w:val="en-US" w:eastAsia="zh-CN"/>
              </w:rPr>
            </w:pPr>
            <w:r>
              <w:rPr>
                <w:rFonts w:hint="eastAsia" w:ascii="Times New Roman" w:hAnsi="Times New Roman" w:eastAsia="仿宋_GB2312" w:cs="仿宋_GB2312"/>
                <w:kern w:val="2"/>
                <w:sz w:val="32"/>
                <w:szCs w:val="32"/>
                <w:vertAlign w:val="baseline"/>
                <w:lang w:val="en-US" w:eastAsia="zh-CN"/>
              </w:rPr>
              <w:t>修改后条文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6591" w:type="dxa"/>
            <w:noWrap w:val="0"/>
            <w:vAlign w:val="top"/>
          </w:tcPr>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4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555" w:type="dxa"/>
                  <w:noWrap w:val="0"/>
                  <w:vAlign w:val="center"/>
                </w:tcPr>
                <w:p>
                  <w:pPr>
                    <w:keepNext w:val="0"/>
                    <w:keepLines w:val="0"/>
                    <w:suppressLineNumbers w:val="0"/>
                    <w:spacing w:before="0" w:beforeAutospacing="0" w:after="0" w:afterAutospacing="0" w:line="240" w:lineRule="auto"/>
                    <w:ind w:left="0" w:leftChars="0" w:right="0" w:firstLine="0" w:firstLineChars="0"/>
                    <w:jc w:val="left"/>
                    <w:rPr>
                      <w:rFonts w:hint="default" w:ascii="Times New Roman" w:hAnsi="Times New Roman" w:eastAsia="仿宋_GB2312" w:cs="仿宋_GB2312"/>
                      <w:kern w:val="2"/>
                      <w:sz w:val="32"/>
                      <w:szCs w:val="32"/>
                      <w:vertAlign w:val="baseline"/>
                      <w:lang w:val="en-US" w:eastAsia="zh-CN"/>
                    </w:rPr>
                  </w:pPr>
                  <w:r>
                    <w:rPr>
                      <w:rFonts w:hint="eastAsia" w:ascii="Times New Roman" w:hAnsi="Times New Roman" w:eastAsia="仿宋_GB2312" w:cs="仿宋_GB2312"/>
                      <w:kern w:val="2"/>
                      <w:sz w:val="32"/>
                      <w:szCs w:val="32"/>
                      <w:vertAlign w:val="baseline"/>
                      <w:lang w:val="en-US" w:eastAsia="zh-CN"/>
                    </w:rPr>
                    <w:t>交割等级</w:t>
                  </w:r>
                </w:p>
              </w:tc>
              <w:tc>
                <w:tcPr>
                  <w:tcW w:w="4759" w:type="dxa"/>
                  <w:noWrap w:val="0"/>
                  <w:vAlign w:val="center"/>
                </w:tcPr>
                <w:p>
                  <w:pPr>
                    <w:keepNext w:val="0"/>
                    <w:keepLines w:val="0"/>
                    <w:suppressLineNumbers w:val="0"/>
                    <w:spacing w:before="0" w:beforeAutospacing="0" w:after="0" w:afterAutospacing="0" w:line="240" w:lineRule="auto"/>
                    <w:ind w:left="0" w:leftChars="0" w:right="0" w:firstLine="0" w:firstLineChars="0"/>
                    <w:jc w:val="left"/>
                    <w:rPr>
                      <w:rFonts w:hint="default" w:ascii="Times New Roman" w:hAnsi="Times New Roman" w:eastAsia="仿宋_GB2312" w:cs="仿宋_GB2312"/>
                      <w:kern w:val="2"/>
                      <w:sz w:val="32"/>
                      <w:szCs w:val="32"/>
                      <w:vertAlign w:val="baseline"/>
                      <w:lang w:val="en-US" w:eastAsia="zh-CN"/>
                    </w:rPr>
                  </w:pPr>
                  <w:r>
                    <w:rPr>
                      <w:rFonts w:hint="eastAsia" w:ascii="Times New Roman" w:hAnsi="Times New Roman" w:eastAsia="仿宋_GB2312" w:cs="仿宋_GB2312"/>
                      <w:kern w:val="2"/>
                      <w:sz w:val="32"/>
                      <w:szCs w:val="32"/>
                      <w:vertAlign w:val="baseline"/>
                      <w:lang w:val="en-US" w:eastAsia="zh-CN"/>
                    </w:rPr>
                    <w:t>大连商品交易所焦煤交割质量标准（F/DCE JM003-2022）</w:t>
                  </w:r>
                </w:p>
              </w:tc>
            </w:tr>
          </w:tbl>
          <w:p>
            <w:pPr>
              <w:keepNext w:val="0"/>
              <w:keepLines w:val="0"/>
              <w:suppressLineNumbers w:val="0"/>
              <w:spacing w:before="0" w:beforeAutospacing="0" w:after="0" w:afterAutospacing="0" w:line="580" w:lineRule="exact"/>
              <w:ind w:left="0" w:leftChars="0" w:right="0" w:firstLine="0" w:firstLineChars="0"/>
              <w:jc w:val="both"/>
              <w:rPr>
                <w:rFonts w:hint="eastAsia" w:ascii="Times New Roman" w:hAnsi="Times New Roman" w:eastAsia="仿宋_GB2312" w:cs="仿宋_GB2312"/>
                <w:kern w:val="2"/>
                <w:sz w:val="32"/>
                <w:szCs w:val="32"/>
                <w:vertAlign w:val="baseline"/>
                <w:lang w:eastAsia="zh-CN"/>
              </w:rPr>
            </w:pPr>
          </w:p>
        </w:tc>
        <w:tc>
          <w:tcPr>
            <w:tcW w:w="6592" w:type="dxa"/>
            <w:noWrap w:val="0"/>
            <w:vAlign w:val="top"/>
          </w:tcPr>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642" w:type="dxa"/>
                  <w:noWrap w:val="0"/>
                  <w:vAlign w:val="center"/>
                </w:tcPr>
                <w:p>
                  <w:pPr>
                    <w:keepNext w:val="0"/>
                    <w:keepLines w:val="0"/>
                    <w:suppressLineNumbers w:val="0"/>
                    <w:spacing w:before="0" w:beforeAutospacing="0" w:after="0" w:afterAutospacing="0" w:line="240" w:lineRule="auto"/>
                    <w:ind w:left="0" w:leftChars="0" w:right="0" w:firstLine="0" w:firstLineChars="0"/>
                    <w:jc w:val="left"/>
                    <w:rPr>
                      <w:rFonts w:hint="eastAsia" w:ascii="Times New Roman" w:hAnsi="Times New Roman" w:eastAsia="仿宋_GB2312" w:cs="仿宋_GB2312"/>
                      <w:kern w:val="2"/>
                      <w:sz w:val="32"/>
                      <w:szCs w:val="32"/>
                      <w:vertAlign w:val="baseline"/>
                      <w:lang w:eastAsia="zh-CN"/>
                    </w:rPr>
                  </w:pPr>
                  <w:r>
                    <w:rPr>
                      <w:rFonts w:hint="eastAsia" w:ascii="Times New Roman" w:hAnsi="Times New Roman" w:eastAsia="仿宋_GB2312" w:cs="仿宋_GB2312"/>
                      <w:kern w:val="2"/>
                      <w:sz w:val="32"/>
                      <w:szCs w:val="32"/>
                      <w:vertAlign w:val="baseline"/>
                      <w:lang w:val="en-US" w:eastAsia="zh-CN"/>
                    </w:rPr>
                    <w:t>交割等级</w:t>
                  </w:r>
                </w:p>
              </w:tc>
              <w:tc>
                <w:tcPr>
                  <w:tcW w:w="4678" w:type="dxa"/>
                  <w:noWrap w:val="0"/>
                  <w:vAlign w:val="center"/>
                </w:tcPr>
                <w:p>
                  <w:pPr>
                    <w:keepNext w:val="0"/>
                    <w:keepLines w:val="0"/>
                    <w:suppressLineNumbers w:val="0"/>
                    <w:spacing w:before="0" w:beforeAutospacing="0" w:after="0" w:afterAutospacing="0" w:line="240" w:lineRule="auto"/>
                    <w:ind w:left="0" w:leftChars="0" w:right="0" w:firstLine="0" w:firstLineChars="0"/>
                    <w:jc w:val="left"/>
                    <w:rPr>
                      <w:rFonts w:hint="eastAsia" w:ascii="Times New Roman" w:hAnsi="Times New Roman" w:eastAsia="仿宋_GB2312" w:cs="仿宋_GB2312"/>
                      <w:kern w:val="2"/>
                      <w:sz w:val="32"/>
                      <w:szCs w:val="32"/>
                      <w:vertAlign w:val="baseline"/>
                      <w:lang w:eastAsia="zh-CN"/>
                    </w:rPr>
                  </w:pPr>
                  <w:r>
                    <w:rPr>
                      <w:rFonts w:hint="eastAsia" w:ascii="Times New Roman" w:hAnsi="Times New Roman" w:eastAsia="仿宋_GB2312" w:cs="仿宋_GB2312"/>
                      <w:kern w:val="2"/>
                      <w:sz w:val="32"/>
                      <w:szCs w:val="32"/>
                      <w:vertAlign w:val="baseline"/>
                      <w:lang w:val="en-US" w:eastAsia="zh-CN"/>
                    </w:rPr>
                    <w:t>大连商品交易所焦煤交割质量标准（F/DCE JM00</w:t>
                  </w:r>
                  <w:r>
                    <w:rPr>
                      <w:rFonts w:hint="eastAsia" w:ascii="Times New Roman" w:hAnsi="Times New Roman" w:eastAsia="仿宋_GB2312" w:cs="仿宋_GB2312"/>
                      <w:strike w:val="0"/>
                      <w:dstrike/>
                      <w:kern w:val="2"/>
                      <w:sz w:val="32"/>
                      <w:szCs w:val="32"/>
                      <w:vertAlign w:val="baseline"/>
                      <w:lang w:val="en-US" w:eastAsia="zh-CN"/>
                    </w:rPr>
                    <w:t>3</w:t>
                  </w:r>
                  <w:r>
                    <w:rPr>
                      <w:rFonts w:hint="eastAsia" w:ascii="Times New Roman" w:hAnsi="Times New Roman" w:eastAsia="仿宋_GB2312" w:cs="仿宋_GB2312"/>
                      <w:kern w:val="2"/>
                      <w:sz w:val="32"/>
                      <w:szCs w:val="32"/>
                      <w:shd w:val="clear" w:color="FFFFFF" w:fill="D9D9D9"/>
                      <w:vertAlign w:val="baseline"/>
                      <w:lang w:val="en-US" w:eastAsia="zh-CN"/>
                    </w:rPr>
                    <w:t>4</w:t>
                  </w:r>
                  <w:r>
                    <w:rPr>
                      <w:rFonts w:hint="eastAsia" w:ascii="Times New Roman" w:hAnsi="Times New Roman" w:eastAsia="仿宋_GB2312" w:cs="仿宋_GB2312"/>
                      <w:kern w:val="2"/>
                      <w:sz w:val="32"/>
                      <w:szCs w:val="32"/>
                      <w:vertAlign w:val="baseline"/>
                      <w:lang w:val="en-US" w:eastAsia="zh-CN"/>
                    </w:rPr>
                    <w:t>-202</w:t>
                  </w:r>
                  <w:r>
                    <w:rPr>
                      <w:rFonts w:hint="eastAsia" w:ascii="Times New Roman" w:hAnsi="Times New Roman" w:eastAsia="仿宋_GB2312" w:cs="仿宋_GB2312"/>
                      <w:strike w:val="0"/>
                      <w:dstrike/>
                      <w:kern w:val="2"/>
                      <w:sz w:val="32"/>
                      <w:szCs w:val="32"/>
                      <w:vertAlign w:val="baseline"/>
                      <w:lang w:val="en-US" w:eastAsia="zh-CN"/>
                    </w:rPr>
                    <w:t>2</w:t>
                  </w:r>
                  <w:r>
                    <w:rPr>
                      <w:rFonts w:hint="eastAsia" w:ascii="Times New Roman" w:hAnsi="Times New Roman" w:eastAsia="仿宋_GB2312" w:cs="仿宋_GB2312"/>
                      <w:kern w:val="2"/>
                      <w:sz w:val="32"/>
                      <w:szCs w:val="32"/>
                      <w:shd w:val="clear" w:color="FFFFFF" w:fill="D9D9D9"/>
                      <w:vertAlign w:val="baseline"/>
                      <w:lang w:val="en-US" w:eastAsia="zh-CN"/>
                    </w:rPr>
                    <w:t>5</w:t>
                  </w:r>
                  <w:r>
                    <w:rPr>
                      <w:rFonts w:hint="eastAsia" w:ascii="Times New Roman" w:hAnsi="Times New Roman" w:eastAsia="仿宋_GB2312" w:cs="仿宋_GB2312"/>
                      <w:kern w:val="2"/>
                      <w:sz w:val="32"/>
                      <w:szCs w:val="32"/>
                      <w:vertAlign w:val="baseline"/>
                      <w:lang w:val="en-US" w:eastAsia="zh-CN"/>
                    </w:rPr>
                    <w:t>）</w:t>
                  </w:r>
                </w:p>
              </w:tc>
            </w:tr>
          </w:tbl>
          <w:p>
            <w:pPr>
              <w:keepNext w:val="0"/>
              <w:keepLines w:val="0"/>
              <w:suppressLineNumbers w:val="0"/>
              <w:spacing w:before="0" w:beforeAutospacing="0" w:after="0" w:afterAutospacing="0" w:line="580" w:lineRule="exact"/>
              <w:ind w:left="0" w:leftChars="0" w:right="0" w:firstLine="0" w:firstLineChars="0"/>
              <w:jc w:val="both"/>
              <w:rPr>
                <w:rFonts w:hint="eastAsia" w:ascii="Times New Roman" w:hAnsi="Times New Roman" w:eastAsia="仿宋_GB2312" w:cs="仿宋_GB2312"/>
                <w:kern w:val="2"/>
                <w:sz w:val="32"/>
                <w:szCs w:val="32"/>
                <w:vertAlign w:val="baseline"/>
                <w:lang w:eastAsia="zh-CN"/>
              </w:rPr>
            </w:pPr>
          </w:p>
        </w:tc>
      </w:tr>
    </w:tbl>
    <w:p>
      <w:pPr>
        <w:spacing w:line="240" w:lineRule="auto"/>
        <w:jc w:val="center"/>
        <w:rPr>
          <w:rFonts w:hint="eastAsia" w:ascii="宋体" w:hAnsi="宋体" w:eastAsia="宋体" w:cs="宋体"/>
          <w:b/>
          <w:kern w:val="0"/>
          <w:sz w:val="44"/>
          <w:szCs w:val="44"/>
          <w:highlight w:val="none"/>
          <w:lang w:eastAsia="zh-CN"/>
        </w:rPr>
      </w:pPr>
      <w:r>
        <w:rPr>
          <w:rFonts w:hint="default" w:ascii="Times New Roman" w:hAnsi="Times New Roman" w:eastAsia="黑体" w:cs="Times New Roman"/>
          <w:b w:val="0"/>
          <w:bCs w:val="0"/>
          <w:sz w:val="32"/>
          <w:szCs w:val="32"/>
          <w:lang w:val="en-US" w:eastAsia="zh-CN"/>
        </w:rPr>
        <w:br w:type="page"/>
      </w:r>
      <w:r>
        <w:rPr>
          <w:rFonts w:hint="eastAsia" w:ascii="Times New Roman" w:hAnsi="Times New Roman"/>
          <w:b/>
          <w:bCs/>
          <w:sz w:val="44"/>
          <w:szCs w:val="44"/>
          <w:lang w:val="en-US" w:eastAsia="zh-CN"/>
        </w:rPr>
        <w:t>二、《</w:t>
      </w:r>
      <w:r>
        <w:rPr>
          <w:rFonts w:hint="eastAsia" w:ascii="Times New Roman" w:hAnsi="Times New Roman"/>
          <w:b/>
          <w:bCs/>
          <w:sz w:val="44"/>
          <w:szCs w:val="44"/>
          <w:lang w:eastAsia="zh-CN"/>
        </w:rPr>
        <w:t>大连</w:t>
      </w:r>
      <w:r>
        <w:rPr>
          <w:rFonts w:hint="eastAsia" w:ascii="Times New Roman" w:hAnsi="Times New Roman"/>
          <w:b/>
          <w:bCs/>
          <w:sz w:val="44"/>
          <w:szCs w:val="44"/>
        </w:rPr>
        <w:t>商品交易所</w:t>
      </w:r>
      <w:r>
        <w:rPr>
          <w:rFonts w:hint="eastAsia" w:ascii="Times New Roman" w:hAnsi="Times New Roman"/>
          <w:b/>
          <w:bCs/>
          <w:sz w:val="44"/>
          <w:szCs w:val="44"/>
          <w:lang w:eastAsia="zh-CN"/>
        </w:rPr>
        <w:t>焦煤</w:t>
      </w:r>
      <w:r>
        <w:rPr>
          <w:rFonts w:hint="eastAsia" w:ascii="Times New Roman" w:hAnsi="Times New Roman"/>
          <w:b/>
          <w:bCs/>
          <w:sz w:val="44"/>
          <w:szCs w:val="44"/>
        </w:rPr>
        <w:t>期货业务细则</w:t>
      </w:r>
      <w:r>
        <w:rPr>
          <w:rFonts w:hint="eastAsia" w:ascii="Times New Roman" w:hAnsi="Times New Roman"/>
          <w:b/>
          <w:bCs/>
          <w:sz w:val="44"/>
          <w:szCs w:val="44"/>
          <w:lang w:eastAsia="zh-CN"/>
        </w:rPr>
        <w:t>》</w:t>
      </w:r>
      <w:r>
        <w:rPr>
          <w:rFonts w:hint="eastAsia" w:ascii="宋体" w:hAnsi="宋体" w:eastAsia="宋体" w:cs="宋体"/>
          <w:b/>
          <w:kern w:val="0"/>
          <w:sz w:val="44"/>
          <w:szCs w:val="44"/>
          <w:highlight w:val="none"/>
          <w:lang w:eastAsia="zh-CN"/>
        </w:rPr>
        <w:t>修改对照表</w:t>
      </w:r>
    </w:p>
    <w:p>
      <w:pPr>
        <w:keepNext w:val="0"/>
        <w:keepLines w:val="0"/>
        <w:pageBreakBefore w:val="0"/>
        <w:widowControl/>
        <w:kinsoku/>
        <w:wordWrap/>
        <w:overflowPunct/>
        <w:topLinePunct w:val="0"/>
        <w:autoSpaceDE/>
        <w:autoSpaceDN/>
        <w:bidi w:val="0"/>
        <w:adjustRightInd/>
        <w:snapToGrid/>
        <w:spacing w:after="157" w:afterLines="50" w:line="580" w:lineRule="exact"/>
        <w:ind w:firstLine="0" w:firstLineChars="0"/>
        <w:jc w:val="center"/>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（阴影部分为新增内容，双划线部分为删除内容，“……”（省略号）含义为该条款未修改的其他内容）</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0"/>
        <w:gridCol w:w="6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0" w:firstLineChars="0"/>
              <w:jc w:val="center"/>
              <w:rPr>
                <w:rFonts w:hint="default" w:ascii="Times New Roman" w:hAnsi="Times New Roman" w:eastAsia="仿宋_GB2312" w:cs="仿宋_GB2312"/>
                <w:sz w:val="32"/>
                <w:szCs w:val="32"/>
                <w:vertAlign w:val="baseline"/>
                <w:lang w:val="en-US" w:eastAsia="zh-CN"/>
              </w:rPr>
            </w:pPr>
            <w:r>
              <w:rPr>
                <w:rFonts w:hint="eastAsia" w:ascii="Times New Roman" w:hAnsi="Times New Roman" w:eastAsia="仿宋_GB2312" w:cs="仿宋_GB2312"/>
                <w:sz w:val="32"/>
                <w:szCs w:val="32"/>
                <w:vertAlign w:val="baseline"/>
                <w:lang w:val="en-US" w:eastAsia="zh-CN"/>
              </w:rPr>
              <w:t>原条文</w:t>
            </w:r>
          </w:p>
        </w:tc>
        <w:tc>
          <w:tcPr>
            <w:tcW w:w="6513" w:type="dxa"/>
            <w:noWrap w:val="0"/>
            <w:vAlign w:val="top"/>
          </w:tcPr>
          <w:p>
            <w:pPr>
              <w:keepNext w:val="0"/>
              <w:keepLines w:val="0"/>
              <w:suppressLineNumbers w:val="0"/>
              <w:spacing w:before="0" w:beforeAutospacing="0" w:after="0" w:afterAutospacing="0" w:line="580" w:lineRule="exact"/>
              <w:ind w:left="0" w:leftChars="0" w:right="0" w:firstLine="0" w:firstLineChars="0"/>
              <w:jc w:val="center"/>
              <w:rPr>
                <w:rFonts w:hint="default" w:ascii="Times New Roman" w:hAnsi="Times New Roman" w:eastAsia="仿宋_GB2312" w:cs="仿宋_GB2312"/>
                <w:sz w:val="32"/>
                <w:szCs w:val="32"/>
                <w:vertAlign w:val="baseline"/>
                <w:lang w:val="en-US" w:eastAsia="zh-CN"/>
              </w:rPr>
            </w:pPr>
            <w:r>
              <w:rPr>
                <w:rFonts w:hint="eastAsia" w:ascii="Times New Roman" w:hAnsi="Times New Roman" w:eastAsia="仿宋_GB2312" w:cs="仿宋_GB2312"/>
                <w:sz w:val="32"/>
                <w:szCs w:val="32"/>
                <w:vertAlign w:val="baseline"/>
                <w:lang w:val="en-US" w:eastAsia="zh-CN"/>
              </w:rPr>
              <w:t>修改后条文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6670" w:type="dxa"/>
            <w:noWrap w:val="0"/>
            <w:vAlign w:val="top"/>
          </w:tcPr>
          <w:p>
            <w:pPr>
              <w:keepNext w:val="0"/>
              <w:keepLines w:val="0"/>
              <w:numPr>
                <w:ilvl w:val="0"/>
                <w:numId w:val="0"/>
              </w:numPr>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
              </w:rPr>
              <w:t xml:space="preserve">第四条 </w:t>
            </w:r>
            <w:r>
              <w:rPr>
                <w:rFonts w:hint="eastAsia" w:ascii="Times New Roman" w:hAnsi="Times New Roman" w:eastAsia="仿宋_GB2312" w:cs="仿宋_GB2312"/>
                <w:sz w:val="32"/>
                <w:szCs w:val="32"/>
                <w:vertAlign w:val="baseline"/>
                <w:lang w:eastAsia="zh-CN"/>
              </w:rPr>
              <w:t>焦煤期货合约交割标准品、替代品的质量标准和质量升贴水详见附件1《大连商品交易所焦煤交割质量标准（F/DCE JM003-2022）》。</w:t>
            </w:r>
          </w:p>
          <w:p>
            <w:pPr>
              <w:keepNext w:val="0"/>
              <w:keepLines w:val="0"/>
              <w:numPr>
                <w:ilvl w:val="0"/>
                <w:numId w:val="0"/>
              </w:numPr>
              <w:suppressLineNumbers w:val="0"/>
              <w:spacing w:before="0" w:beforeAutospacing="0" w:after="0" w:afterAutospacing="0" w:line="580" w:lineRule="exact"/>
              <w:ind w:left="400" w:leftChars="200" w:right="0" w:firstLine="0" w:firstLineChars="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28"/>
                <w:szCs w:val="28"/>
                <w:lang w:val="en-US" w:eastAsia="zh-CN"/>
              </w:rPr>
              <w:t>……</w:t>
            </w:r>
          </w:p>
        </w:tc>
        <w:tc>
          <w:tcPr>
            <w:tcW w:w="6513" w:type="dxa"/>
            <w:noWrap w:val="0"/>
            <w:vAlign w:val="top"/>
          </w:tcPr>
          <w:p>
            <w:pPr>
              <w:keepNext w:val="0"/>
              <w:keepLines w:val="0"/>
              <w:numPr>
                <w:ilvl w:val="0"/>
                <w:numId w:val="0"/>
              </w:numPr>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
              </w:rPr>
              <w:t xml:space="preserve">第四条 </w:t>
            </w:r>
            <w:r>
              <w:rPr>
                <w:rFonts w:hint="eastAsia" w:ascii="Times New Roman" w:hAnsi="Times New Roman" w:eastAsia="仿宋_GB2312" w:cs="仿宋_GB2312"/>
                <w:sz w:val="32"/>
                <w:szCs w:val="32"/>
                <w:vertAlign w:val="baseline"/>
                <w:lang w:eastAsia="zh-CN"/>
              </w:rPr>
              <w:t>焦煤期货合约交割标准品、替代品的质量标准和质量升贴水详见附件1《大连商品交易所焦煤交割质量标准</w:t>
            </w:r>
            <w:r>
              <w:rPr>
                <w:rFonts w:hint="eastAsia" w:ascii="Times New Roman" w:hAnsi="Times New Roman" w:eastAsia="仿宋_GB2312" w:cs="仿宋_GB2312"/>
                <w:sz w:val="32"/>
                <w:szCs w:val="32"/>
                <w:vertAlign w:val="baseline"/>
                <w:lang w:val="en-US" w:eastAsia="zh-CN"/>
              </w:rPr>
              <w:t>（F/DCE JM00</w:t>
            </w:r>
            <w:r>
              <w:rPr>
                <w:rFonts w:hint="eastAsia" w:ascii="Times New Roman" w:hAnsi="Times New Roman" w:eastAsia="仿宋_GB2312" w:cs="仿宋_GB2312"/>
                <w:strike w:val="0"/>
                <w:dstrike/>
                <w:sz w:val="32"/>
                <w:szCs w:val="32"/>
                <w:vertAlign w:val="baseline"/>
                <w:lang w:val="en-US" w:eastAsia="zh-CN"/>
              </w:rPr>
              <w:t>3</w:t>
            </w:r>
            <w:r>
              <w:rPr>
                <w:rFonts w:hint="eastAsia" w:ascii="Times New Roman" w:hAnsi="Times New Roman" w:eastAsia="仿宋_GB2312" w:cs="仿宋_GB2312"/>
                <w:sz w:val="32"/>
                <w:szCs w:val="32"/>
                <w:shd w:val="clear" w:color="FFFFFF" w:fill="D9D9D9"/>
                <w:vertAlign w:val="baseline"/>
                <w:lang w:val="en-US" w:eastAsia="zh-CN"/>
              </w:rPr>
              <w:t>4</w:t>
            </w:r>
            <w:r>
              <w:rPr>
                <w:rFonts w:hint="eastAsia" w:ascii="Times New Roman" w:hAnsi="Times New Roman" w:eastAsia="仿宋_GB2312" w:cs="仿宋_GB2312"/>
                <w:sz w:val="32"/>
                <w:szCs w:val="32"/>
                <w:vertAlign w:val="baseline"/>
                <w:lang w:val="en-US" w:eastAsia="zh-CN"/>
              </w:rPr>
              <w:t>-202</w:t>
            </w:r>
            <w:r>
              <w:rPr>
                <w:rFonts w:hint="eastAsia" w:ascii="Times New Roman" w:hAnsi="Times New Roman" w:eastAsia="仿宋_GB2312" w:cs="仿宋_GB2312"/>
                <w:strike w:val="0"/>
                <w:dstrike/>
                <w:sz w:val="32"/>
                <w:szCs w:val="32"/>
                <w:vertAlign w:val="baseline"/>
                <w:lang w:val="en-US" w:eastAsia="zh-CN"/>
              </w:rPr>
              <w:t>2</w:t>
            </w:r>
            <w:r>
              <w:rPr>
                <w:rFonts w:hint="eastAsia" w:ascii="Times New Roman" w:hAnsi="Times New Roman" w:eastAsia="仿宋_GB2312" w:cs="仿宋_GB2312"/>
                <w:sz w:val="32"/>
                <w:szCs w:val="32"/>
                <w:shd w:val="clear" w:color="FFFFFF" w:fill="D9D9D9"/>
                <w:vertAlign w:val="baseline"/>
                <w:lang w:val="en-US" w:eastAsia="zh-CN"/>
              </w:rPr>
              <w:t>5</w:t>
            </w:r>
            <w:r>
              <w:rPr>
                <w:rFonts w:hint="eastAsia" w:ascii="Times New Roman" w:hAnsi="Times New Roman" w:eastAsia="仿宋_GB2312" w:cs="仿宋_GB2312"/>
                <w:sz w:val="32"/>
                <w:szCs w:val="32"/>
                <w:vertAlign w:val="baseline"/>
                <w:lang w:val="en-US" w:eastAsia="zh-CN"/>
              </w:rPr>
              <w:t>）</w:t>
            </w:r>
            <w:r>
              <w:rPr>
                <w:rFonts w:hint="eastAsia" w:ascii="Times New Roman" w:hAnsi="Times New Roman" w:eastAsia="仿宋_GB2312" w:cs="仿宋_GB2312"/>
                <w:sz w:val="32"/>
                <w:szCs w:val="32"/>
                <w:vertAlign w:val="baseline"/>
                <w:lang w:eastAsia="zh-CN"/>
              </w:rPr>
              <w:t>》。</w:t>
            </w:r>
          </w:p>
          <w:p>
            <w:pPr>
              <w:keepNext w:val="0"/>
              <w:keepLines w:val="0"/>
              <w:numPr>
                <w:ilvl w:val="0"/>
                <w:numId w:val="0"/>
              </w:numPr>
              <w:suppressLineNumbers w:val="0"/>
              <w:spacing w:before="0" w:beforeAutospacing="0" w:after="0" w:afterAutospacing="0" w:line="580" w:lineRule="exact"/>
              <w:ind w:left="400" w:leftChars="200" w:right="0" w:firstLine="0" w:firstLineChars="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28"/>
                <w:szCs w:val="2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第二十六条 焦煤收发重量以指定交割仓库检重为准，检重时以地磅或轨道衡计量为准。指定交割仓库根据交易所指定的质量检验机构出具的焦煤水分检验结果，按照《大连商品交易所焦煤交割质量标准（F/DCE JM003-2022）》的规定对重量进行折算，并以此作为出具仓单的依据。</w:t>
            </w:r>
          </w:p>
        </w:tc>
        <w:tc>
          <w:tcPr>
            <w:tcW w:w="6513"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第二十六条 焦煤收发重量以指定交割仓库检重为准，检重时以地磅或轨道衡计量为准。指定交割仓库根据交易所指定的质量检验机构出具的焦煤</w:t>
            </w:r>
            <w:r>
              <w:rPr>
                <w:rFonts w:hint="eastAsia" w:ascii="Times New Roman" w:hAnsi="Times New Roman" w:eastAsia="仿宋_GB2312" w:cs="仿宋_GB2312"/>
                <w:sz w:val="32"/>
                <w:szCs w:val="32"/>
                <w:shd w:val="clear" w:color="FFFFFF" w:fill="D9D9D9"/>
                <w:vertAlign w:val="baseline"/>
                <w:lang w:val="en-US" w:eastAsia="zh-CN"/>
              </w:rPr>
              <w:t>全</w:t>
            </w:r>
            <w:r>
              <w:rPr>
                <w:rFonts w:hint="eastAsia" w:ascii="Times New Roman" w:hAnsi="Times New Roman" w:eastAsia="仿宋_GB2312" w:cs="仿宋_GB2312"/>
                <w:sz w:val="32"/>
                <w:szCs w:val="32"/>
                <w:vertAlign w:val="baseline"/>
                <w:lang w:eastAsia="zh-CN"/>
              </w:rPr>
              <w:t>水分检验结果，按照《大连商品交易所焦煤交割质量标准</w:t>
            </w:r>
            <w:r>
              <w:rPr>
                <w:rFonts w:hint="eastAsia" w:ascii="Times New Roman" w:hAnsi="Times New Roman" w:eastAsia="仿宋_GB2312" w:cs="仿宋_GB2312"/>
                <w:sz w:val="32"/>
                <w:szCs w:val="32"/>
                <w:vertAlign w:val="baseline"/>
                <w:lang w:val="en-US" w:eastAsia="zh-CN"/>
              </w:rPr>
              <w:t>（F/DCE JM00</w:t>
            </w:r>
            <w:r>
              <w:rPr>
                <w:rFonts w:hint="eastAsia" w:ascii="Times New Roman" w:hAnsi="Times New Roman" w:eastAsia="仿宋_GB2312" w:cs="仿宋_GB2312"/>
                <w:strike w:val="0"/>
                <w:dstrike/>
                <w:sz w:val="32"/>
                <w:szCs w:val="32"/>
                <w:vertAlign w:val="baseline"/>
                <w:lang w:val="en-US" w:eastAsia="zh-CN"/>
              </w:rPr>
              <w:t>3</w:t>
            </w:r>
            <w:r>
              <w:rPr>
                <w:rFonts w:hint="eastAsia" w:ascii="Times New Roman" w:hAnsi="Times New Roman" w:eastAsia="仿宋_GB2312" w:cs="仿宋_GB2312"/>
                <w:sz w:val="32"/>
                <w:szCs w:val="32"/>
                <w:shd w:val="clear" w:color="FFFFFF" w:fill="D9D9D9"/>
                <w:vertAlign w:val="baseline"/>
                <w:lang w:val="en-US" w:eastAsia="zh-CN"/>
              </w:rPr>
              <w:t>4</w:t>
            </w:r>
            <w:r>
              <w:rPr>
                <w:rFonts w:hint="eastAsia" w:ascii="Times New Roman" w:hAnsi="Times New Roman" w:eastAsia="仿宋_GB2312" w:cs="仿宋_GB2312"/>
                <w:sz w:val="32"/>
                <w:szCs w:val="32"/>
                <w:vertAlign w:val="baseline"/>
                <w:lang w:val="en-US" w:eastAsia="zh-CN"/>
              </w:rPr>
              <w:t>-202</w:t>
            </w:r>
            <w:r>
              <w:rPr>
                <w:rFonts w:hint="eastAsia" w:ascii="Times New Roman" w:hAnsi="Times New Roman" w:eastAsia="仿宋_GB2312" w:cs="仿宋_GB2312"/>
                <w:strike w:val="0"/>
                <w:dstrike/>
                <w:sz w:val="32"/>
                <w:szCs w:val="32"/>
                <w:vertAlign w:val="baseline"/>
                <w:lang w:val="en-US" w:eastAsia="zh-CN"/>
              </w:rPr>
              <w:t>2</w:t>
            </w:r>
            <w:r>
              <w:rPr>
                <w:rFonts w:hint="eastAsia" w:ascii="Times New Roman" w:hAnsi="Times New Roman" w:eastAsia="仿宋_GB2312" w:cs="仿宋_GB2312"/>
                <w:sz w:val="32"/>
                <w:szCs w:val="32"/>
                <w:shd w:val="clear" w:color="FFFFFF" w:fill="D9D9D9"/>
                <w:vertAlign w:val="baseline"/>
                <w:lang w:val="en-US" w:eastAsia="zh-CN"/>
              </w:rPr>
              <w:t>5</w:t>
            </w:r>
            <w:r>
              <w:rPr>
                <w:rFonts w:hint="eastAsia" w:ascii="Times New Roman" w:hAnsi="Times New Roman" w:eastAsia="仿宋_GB2312" w:cs="仿宋_GB2312"/>
                <w:sz w:val="32"/>
                <w:szCs w:val="32"/>
                <w:vertAlign w:val="baseline"/>
                <w:lang w:val="en-US" w:eastAsia="zh-CN"/>
              </w:rPr>
              <w:t>）</w:t>
            </w:r>
            <w:r>
              <w:rPr>
                <w:rFonts w:hint="eastAsia" w:ascii="Times New Roman" w:hAnsi="Times New Roman" w:eastAsia="仿宋_GB2312" w:cs="仿宋_GB2312"/>
                <w:sz w:val="32"/>
                <w:szCs w:val="32"/>
                <w:vertAlign w:val="baseline"/>
                <w:lang w:eastAsia="zh-CN"/>
              </w:rPr>
              <w:t>》的规定对重量进行折算，并以此作为出具仓单的依据。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第三十一条 焦煤从仓库出库时，指定交割仓库应当向货主出具由指定交割仓库检验的水分实测结果，并出示仓单注册时的质量检验报告。</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指定交割仓库按照水分实测结果和《大连商品交易所焦煤交割质量标准（F/DCE JM003-2022）》规定，折算成出库重量后足量发货。</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指定交割仓库可以依据仓单注册时的质量检验报告与客户结算质量升贴水。双方也可以协商抽样、留样，在出库后的15日内双方对焦煤质量无异议的，依据仓单注册时的质量检验报告与客户结算质量升贴水；一方或双方对焦煤质量有异议的，以此样品检验结果作为与客户结算质量升贴水的依据。样品检验结果与仓单注册时检验结果存在差异但在国标误差规定范围内的，以仓单注册时的质量检验报告为准。</w:t>
            </w:r>
          </w:p>
        </w:tc>
        <w:tc>
          <w:tcPr>
            <w:tcW w:w="6513"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第三十一条 焦煤从仓库出库时，指定交割仓库应当向货主出具由指定交割仓库检验的</w:t>
            </w:r>
            <w:r>
              <w:rPr>
                <w:rFonts w:hint="eastAsia" w:ascii="Times New Roman" w:hAnsi="Times New Roman" w:eastAsia="仿宋_GB2312" w:cs="仿宋_GB2312"/>
                <w:sz w:val="32"/>
                <w:szCs w:val="32"/>
                <w:shd w:val="clear" w:color="FFFFFF" w:fill="D9D9D9"/>
                <w:vertAlign w:val="baseline"/>
                <w:lang w:val="en-US" w:eastAsia="zh-CN"/>
              </w:rPr>
              <w:t>全</w:t>
            </w:r>
            <w:r>
              <w:rPr>
                <w:rFonts w:hint="eastAsia" w:ascii="Times New Roman" w:hAnsi="Times New Roman" w:eastAsia="仿宋_GB2312" w:cs="仿宋_GB2312"/>
                <w:sz w:val="32"/>
                <w:szCs w:val="32"/>
                <w:vertAlign w:val="baseline"/>
                <w:lang w:eastAsia="zh-CN"/>
              </w:rPr>
              <w:t>水分实测结果，并出示仓单注册时的质量检验报告。</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指定交割仓库按照</w:t>
            </w:r>
            <w:r>
              <w:rPr>
                <w:rFonts w:hint="eastAsia" w:ascii="Times New Roman" w:hAnsi="Times New Roman" w:eastAsia="仿宋_GB2312" w:cs="仿宋_GB2312"/>
                <w:sz w:val="32"/>
                <w:szCs w:val="32"/>
                <w:shd w:val="clear" w:color="FFFFFF" w:fill="D9D9D9"/>
                <w:vertAlign w:val="baseline"/>
                <w:lang w:val="en-US" w:eastAsia="zh-CN"/>
              </w:rPr>
              <w:t>全</w:t>
            </w:r>
            <w:r>
              <w:rPr>
                <w:rFonts w:hint="eastAsia" w:ascii="Times New Roman" w:hAnsi="Times New Roman" w:eastAsia="仿宋_GB2312" w:cs="仿宋_GB2312"/>
                <w:sz w:val="32"/>
                <w:szCs w:val="32"/>
                <w:vertAlign w:val="baseline"/>
                <w:lang w:eastAsia="zh-CN"/>
              </w:rPr>
              <w:t>水分实测结果和《大连商品交易所焦煤交割质量标准</w:t>
            </w:r>
            <w:r>
              <w:rPr>
                <w:rFonts w:hint="eastAsia" w:ascii="Times New Roman" w:hAnsi="Times New Roman" w:eastAsia="仿宋_GB2312" w:cs="仿宋_GB2312"/>
                <w:sz w:val="32"/>
                <w:szCs w:val="32"/>
                <w:vertAlign w:val="baseline"/>
                <w:lang w:val="en-US" w:eastAsia="zh-CN"/>
              </w:rPr>
              <w:t>（F/DCE JM00</w:t>
            </w:r>
            <w:r>
              <w:rPr>
                <w:rFonts w:hint="eastAsia" w:ascii="Times New Roman" w:hAnsi="Times New Roman" w:eastAsia="仿宋_GB2312" w:cs="仿宋_GB2312"/>
                <w:strike w:val="0"/>
                <w:dstrike/>
                <w:sz w:val="32"/>
                <w:szCs w:val="32"/>
                <w:vertAlign w:val="baseline"/>
                <w:lang w:val="en-US" w:eastAsia="zh-CN"/>
              </w:rPr>
              <w:t>3</w:t>
            </w:r>
            <w:r>
              <w:rPr>
                <w:rFonts w:hint="eastAsia" w:ascii="Times New Roman" w:hAnsi="Times New Roman" w:eastAsia="仿宋_GB2312" w:cs="仿宋_GB2312"/>
                <w:sz w:val="32"/>
                <w:szCs w:val="32"/>
                <w:shd w:val="clear" w:color="FFFFFF" w:fill="D9D9D9"/>
                <w:vertAlign w:val="baseline"/>
                <w:lang w:val="en-US" w:eastAsia="zh-CN"/>
              </w:rPr>
              <w:t>4</w:t>
            </w:r>
            <w:r>
              <w:rPr>
                <w:rFonts w:hint="eastAsia" w:ascii="Times New Roman" w:hAnsi="Times New Roman" w:eastAsia="仿宋_GB2312" w:cs="仿宋_GB2312"/>
                <w:sz w:val="32"/>
                <w:szCs w:val="32"/>
                <w:vertAlign w:val="baseline"/>
                <w:lang w:val="en-US" w:eastAsia="zh-CN"/>
              </w:rPr>
              <w:t>-202</w:t>
            </w:r>
            <w:r>
              <w:rPr>
                <w:rFonts w:hint="eastAsia" w:ascii="Times New Roman" w:hAnsi="Times New Roman" w:eastAsia="仿宋_GB2312" w:cs="仿宋_GB2312"/>
                <w:strike w:val="0"/>
                <w:dstrike/>
                <w:sz w:val="32"/>
                <w:szCs w:val="32"/>
                <w:vertAlign w:val="baseline"/>
                <w:lang w:val="en-US" w:eastAsia="zh-CN"/>
              </w:rPr>
              <w:t>2</w:t>
            </w:r>
            <w:r>
              <w:rPr>
                <w:rFonts w:hint="eastAsia" w:ascii="Times New Roman" w:hAnsi="Times New Roman" w:eastAsia="仿宋_GB2312" w:cs="仿宋_GB2312"/>
                <w:sz w:val="32"/>
                <w:szCs w:val="32"/>
                <w:shd w:val="clear" w:color="FFFFFF" w:fill="D9D9D9"/>
                <w:vertAlign w:val="baseline"/>
                <w:lang w:val="en-US" w:eastAsia="zh-CN"/>
              </w:rPr>
              <w:t>5</w:t>
            </w:r>
            <w:r>
              <w:rPr>
                <w:rFonts w:hint="eastAsia" w:ascii="Times New Roman" w:hAnsi="Times New Roman" w:eastAsia="仿宋_GB2312" w:cs="仿宋_GB2312"/>
                <w:sz w:val="32"/>
                <w:szCs w:val="32"/>
                <w:vertAlign w:val="baseline"/>
                <w:lang w:val="en-US" w:eastAsia="zh-CN"/>
              </w:rPr>
              <w:t>）</w:t>
            </w:r>
            <w:r>
              <w:rPr>
                <w:rFonts w:hint="eastAsia" w:ascii="Times New Roman" w:hAnsi="Times New Roman" w:eastAsia="仿宋_GB2312" w:cs="仿宋_GB2312"/>
                <w:sz w:val="32"/>
                <w:szCs w:val="32"/>
                <w:vertAlign w:val="baseline"/>
                <w:lang w:eastAsia="zh-CN"/>
              </w:rPr>
              <w:t>》规定，折算成出库重量后足量发货。</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指定交割仓库可以依据仓单注册时的质量检验报告与客户结算质量升贴水。双方也可以协商抽样、留样，在出库后的15日内双方对焦煤质量无异议的，依据仓单注册时的质量检验报告与客户结算质量升贴水；一方或双方对焦煤质量有异议的，以此样品检验结果作为与客户结算质量升贴水的依据。样品检验结果与仓单注册时检验结果存在差异但在国标</w:t>
            </w:r>
            <w:r>
              <w:rPr>
                <w:rFonts w:hint="eastAsia" w:ascii="Times New Roman" w:hAnsi="Times New Roman" w:eastAsia="仿宋_GB2312" w:cs="仿宋_GB2312"/>
                <w:sz w:val="32"/>
                <w:szCs w:val="32"/>
                <w:shd w:val="clear" w:color="FFFFFF" w:fill="D9D9D9"/>
                <w:vertAlign w:val="baseline"/>
                <w:lang w:eastAsia="zh-CN"/>
              </w:rPr>
              <w:t>等相关标准</w:t>
            </w:r>
            <w:r>
              <w:rPr>
                <w:rFonts w:hint="eastAsia" w:ascii="Times New Roman" w:hAnsi="Times New Roman" w:eastAsia="仿宋_GB2312" w:cs="仿宋_GB2312"/>
                <w:sz w:val="32"/>
                <w:szCs w:val="32"/>
                <w:vertAlign w:val="baseline"/>
                <w:lang w:eastAsia="zh-CN"/>
              </w:rPr>
              <w:t>误差规定范围内的，以仓单注册时的质量检验报告为准。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第三十二条 货主对指定交割仓库实测水分有争议的，应当委托指定质量检验机构到场检验，并以该检验结果作为出库计重依据。指定质量检验机构由货主和指定交割仓库协商确定，协商不成的，由交易所指定。检验费用由货主负担。</w:t>
            </w:r>
          </w:p>
        </w:tc>
        <w:tc>
          <w:tcPr>
            <w:tcW w:w="6513"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第三十二条 货主对指定交割仓库实测</w:t>
            </w:r>
            <w:r>
              <w:rPr>
                <w:rFonts w:hint="eastAsia" w:ascii="Times New Roman" w:hAnsi="Times New Roman" w:eastAsia="仿宋_GB2312" w:cs="仿宋_GB2312"/>
                <w:sz w:val="32"/>
                <w:szCs w:val="32"/>
                <w:shd w:val="clear" w:color="FFFFFF" w:fill="D9D9D9"/>
                <w:vertAlign w:val="baseline"/>
                <w:lang w:val="en-US" w:eastAsia="zh-CN"/>
              </w:rPr>
              <w:t>全</w:t>
            </w:r>
            <w:r>
              <w:rPr>
                <w:rFonts w:hint="eastAsia" w:ascii="Times New Roman" w:hAnsi="Times New Roman" w:eastAsia="仿宋_GB2312" w:cs="仿宋_GB2312"/>
                <w:sz w:val="32"/>
                <w:szCs w:val="32"/>
                <w:vertAlign w:val="baseline"/>
                <w:lang w:eastAsia="zh-CN"/>
              </w:rPr>
              <w:t>水分有争议的，应当委托指定质量检验机构到场检验，并以该检验结果作为出库计重依据。指定质量检验机构由货主和指定交割仓库协商确定，协商不成的，由交易所指定。检验费用由货主负担。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第三十三条 在焦煤未出库的情况下，货主对焦煤质量检验结果有争议的，首先与仓库协商解决。协商不成的，货主应当在标准仓单注销之日起10个工作日内以书面形式向交易所提出复检申请。复检申请应当说明仓库名称和需要复检的商品垛位、数量、质量指标等，留存联系方式，并加盖货主公章。未在规定时间内以规定方式提出申请的，视为货主对出库商品质量无异议。交易所委托指定质量检验机构进行复检。复检费用由货主先行垫付。</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货主可以选择以下两种方式之一抽样、留样：</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（一）继续出库，指定质量检验机构到场在焦煤流中抽样、留样；</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（二）不出库，指定质量检验机构采取倒垛等方式抽样。</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双方应当以该样品检验结果作为解决争议的依据，如果该样品检验结果与仓单注册时检验结果存在差异但在国标误差规定范围内的，则视为与指定交割仓库出示的检验结果相符，并以此作为解决争议的依据。</w:t>
            </w:r>
          </w:p>
          <w:p>
            <w:pPr>
              <w:keepNext w:val="0"/>
              <w:keepLines w:val="0"/>
              <w:suppressLineNumbers w:val="0"/>
              <w:spacing w:before="0" w:beforeAutospacing="0" w:after="0" w:afterAutospacing="0" w:line="580" w:lineRule="exact"/>
              <w:ind w:left="0" w:leftChars="0" w:right="0" w:firstLine="56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28"/>
                <w:szCs w:val="28"/>
                <w:lang w:val="en-US" w:eastAsia="zh-CN"/>
              </w:rPr>
              <w:t>……</w:t>
            </w:r>
          </w:p>
        </w:tc>
        <w:tc>
          <w:tcPr>
            <w:tcW w:w="6513"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第三十三条 在焦煤未出库的情况下，货主对焦煤质量检验结果有争议的，首先与仓库协商解决。协商不成的，货主应当在标准仓单注销之日起10个工作日内以书面形式向交易所提出复检申请。复检申请应当说明仓库名称和需要复检的商品垛位、数量、质量指标等，留存联系方式，并加盖货主公章。未在规定时间内以规定方式提出申请的，视为货主对出库商品质量无异议。交易所委托指定质量检验机构进行复检。复检费用由货主先行垫付。</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货主可以选择以下两种方式之一抽样、留样：</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（一）继续出库，指定质量检验机构到场在焦煤流中抽样、留样；</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（二）不出库，指定质量检验机构采取倒垛等方式抽样。</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双方应当以该样品检验结果作为解决争议的依据，如果该样品检验结果与仓单注册时检验结果存在差异但在国标</w:t>
            </w:r>
            <w:r>
              <w:rPr>
                <w:rFonts w:hint="eastAsia" w:ascii="Times New Roman" w:hAnsi="Times New Roman" w:eastAsia="仿宋_GB2312" w:cs="仿宋_GB2312"/>
                <w:sz w:val="32"/>
                <w:szCs w:val="32"/>
                <w:shd w:val="clear" w:color="FFFFFF" w:fill="D9D9D9"/>
                <w:vertAlign w:val="baseline"/>
                <w:lang w:eastAsia="zh-CN"/>
              </w:rPr>
              <w:t>等相关标准</w:t>
            </w:r>
            <w:r>
              <w:rPr>
                <w:rFonts w:hint="eastAsia" w:ascii="Times New Roman" w:hAnsi="Times New Roman" w:eastAsia="仿宋_GB2312" w:cs="仿宋_GB2312"/>
                <w:sz w:val="32"/>
                <w:szCs w:val="32"/>
                <w:vertAlign w:val="baseline"/>
                <w:lang w:eastAsia="zh-CN"/>
              </w:rPr>
              <w:t>误差规定范围内的，则视为与指定交割仓库出示的检验结果相符，并以此作为解决争议的依据。</w:t>
            </w:r>
          </w:p>
          <w:p>
            <w:pPr>
              <w:keepNext w:val="0"/>
              <w:keepLines w:val="0"/>
              <w:suppressLineNumbers w:val="0"/>
              <w:spacing w:before="0" w:beforeAutospacing="0" w:after="0" w:afterAutospacing="0" w:line="580" w:lineRule="exact"/>
              <w:ind w:left="0" w:leftChars="0" w:right="0" w:firstLine="560" w:firstLineChars="200"/>
              <w:jc w:val="both"/>
              <w:rPr>
                <w:rFonts w:hint="eastAsia" w:ascii="Times New Roman" w:hAnsi="Times New Roman" w:eastAsia="仿宋_GB2312" w:cs="仿宋_GB2312"/>
                <w:sz w:val="32"/>
                <w:szCs w:val="32"/>
                <w:vertAlign w:val="baseline"/>
                <w:lang w:val="en-US" w:eastAsia="zh-CN"/>
              </w:rPr>
            </w:pPr>
            <w:r>
              <w:rPr>
                <w:rFonts w:hint="eastAsia" w:ascii="Times New Roman" w:hAnsi="Times New Roman" w:eastAsia="仿宋_GB2312" w:cs="仿宋_GB2312"/>
                <w:sz w:val="28"/>
                <w:szCs w:val="2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第三十四条 焦煤从厂库出库时，货主应当在标准仓单注销日后（不含注销日）的4个自然日内（含当日）到厂库提货。厂库应当在标准仓单注销日后（不含注销日）的4个自然日内（含当日）开始发货，根据货主合理要求提供送货服务，并与货主协商运费、损耗等。</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对于非品牌焦煤，厂库应当按合约要求的入库质量标准发货，并应当向货主提供对应货物的厂家质检报告原件，作为结算质量升贴水的依据。</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对于品牌焦煤，厂库应当按交易所公布的该品牌的质量标准范围发货，并应当向货主出具认证品牌焦煤的相关材料，包括：</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（一）生产厂家开具的符合交易所要求的品质证书原件，其上应当载明品牌、质量、数量、生产厂家等信息，并加盖生产厂家公章；</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（二）交易所要求的其他文件。</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厂库无法交付前款规定的认证品牌焦煤相关材料的，视为交付货物为非品牌焦煤。</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厂库与货主结算的品牌焦煤的升贴水应当包括质量升贴水和交易所公布的品牌升贴水，质量升贴水应当以品质证书原件作为结算依据。</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焦煤出库时，厂库应当在货主的监督下进行抽样，经双方确认后将样品封存，并将样品保留至发货日后的15个自然日。</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货主对厂库出库商品质量或品牌有异议的，首先与厂库协商解决。协商不成的，货主应当在发货日起5个工作日内以书面形式向交易所提出复检申请。复检申请应当说明厂库名称和需要复检的商品垛位（如有）、品牌名称（如有）、数量、质量指标等，留存联系方式，并加盖货主公章。未在规定时间内以规定方式提出申请的，视为货主对出库商品质量和品牌无异议。交易所委托指定质量检验机构对封存的样品进行复检，并以该样品检验结果作为解决争议的依据。如果该样品检验结果与厂库出示的检验结果存在差异但在国标误差规定范围内的，则视为与厂库出示的检验结果相符，并以此作为解决争议的依据。复检费用由货主先行垫付。样品检验结果与厂库出示的检验结果相符的，由此产生的相关费用（检验费和差旅费等）和损失由货主负担；否则，由此产生的相关费用（检验费和差旅费等）和损失由厂库负担。如果品牌焦煤的样品检验结果不符合品牌质量指标范围的，不予结算品牌升水。</w:t>
            </w:r>
          </w:p>
        </w:tc>
        <w:tc>
          <w:tcPr>
            <w:tcW w:w="6513" w:type="dxa"/>
            <w:noWrap w:val="0"/>
            <w:vAlign w:val="top"/>
          </w:tcPr>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第三十四条 焦煤从厂库出库时，货主应当在标准仓单注销日后（不含注销日）的4个自然日内（含当日）到厂库提货。厂库应当在标准仓单注销日后（不含注销日）的4个自然日内（含当日）开始发货，根据货主合理要求提供送货服务，并与货主协商运费、损耗等。</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对于非品牌焦煤，厂库应当按合约要求的入库质量标准发货，并应当向货主提供对应货物的厂家质检报告原件，作为结算质量升贴水的依据。</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对于品牌焦煤，厂库应当按交易所公布的该品牌的质量标准范围发货，并应当向货主出具认证品牌焦煤的相关材料，包括：</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（一）生产厂家开具的符合交易所要求的品质证书原件，其上应当载明品牌、质量、数量、生产厂家等信息，并加盖生产厂家公章；</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（二）交易所要求的其他文件。</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厂库无法交付前款规定的认证品牌焦煤相关材料的，视为交付货物为非品牌焦煤。</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厂库与货主结算的品牌焦煤的升贴水应当包括质量升贴水和交易所公布的品牌升贴水，质量升贴水应当以品质证书原件作为结算依据。</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焦煤出库时，厂库应当在货主的监督下进行抽样，经双方确认后将样品封存，并将样品保留至发货日后的15个自然日。</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sz w:val="32"/>
                <w:szCs w:val="32"/>
                <w:vertAlign w:val="baseline"/>
                <w:lang w:eastAsia="zh-CN"/>
              </w:rPr>
              <w:t>货主对厂库出库商品质量或品牌有异议的，首先与厂库协商解决。协商不成的，货主应当在发货日起5个工作日内以书面形式向交易所提出复检申请。复检申请应当说明厂库名称和需要复检的商品垛位（如有）、品牌名称（如有）、数量、质量指标等，留存联系方式，并加盖货主公章。未在规定时间内以规定方式提出申请的，视为货主对出库商品质量和品牌无异议。交易所委托指定质量检验机构对封存的样品进行复检，并以该样品检验结果作为解决争议的依据。如果该样品检验结果与厂库出示的检验结果存在差异但在国标</w:t>
            </w:r>
            <w:r>
              <w:rPr>
                <w:rFonts w:hint="eastAsia" w:ascii="Times New Roman" w:hAnsi="Times New Roman" w:eastAsia="仿宋_GB2312" w:cs="仿宋_GB2312"/>
                <w:sz w:val="32"/>
                <w:szCs w:val="32"/>
                <w:shd w:val="clear" w:color="FFFFFF" w:fill="D9D9D9"/>
                <w:vertAlign w:val="baseline"/>
                <w:lang w:eastAsia="zh-CN"/>
              </w:rPr>
              <w:t>等相关标准</w:t>
            </w:r>
            <w:r>
              <w:rPr>
                <w:rFonts w:hint="eastAsia" w:ascii="Times New Roman" w:hAnsi="Times New Roman" w:eastAsia="仿宋_GB2312" w:cs="仿宋_GB2312"/>
                <w:sz w:val="32"/>
                <w:szCs w:val="32"/>
                <w:vertAlign w:val="baseline"/>
                <w:lang w:eastAsia="zh-CN"/>
              </w:rPr>
              <w:t>误差规定范围内的，则视为与厂库出示的检验结果相符，并以此作为解决争议的依据。复检费用由货主先行垫付。样品检验结果与厂库出示的检验结果相符的，由此产生的相关费用（检验费和差旅费等）和损失由货主负担；否则，由此产生的相关费用（检验费和差旅费等）和损失由厂库负担。如果品牌焦煤的样品检验结果不符合品牌质量指标范围的，不予结算品牌升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keepLines w:val="0"/>
              <w:pageBreakBefore w:val="0"/>
              <w:suppressLineNumbers w:val="0"/>
              <w:kinsoku/>
              <w:wordWrap/>
              <w:overflowPunct/>
              <w:topLinePunct w:val="0"/>
              <w:autoSpaceDE/>
              <w:autoSpaceDN/>
              <w:bidi w:val="0"/>
              <w:adjustRightInd/>
              <w:snapToGrid/>
              <w:spacing w:before="0" w:beforeAutospacing="0" w:after="0" w:afterAutospacing="0" w:line="580" w:lineRule="exact"/>
              <w:ind w:left="0" w:leftChars="0" w:right="0" w:firstLine="0" w:firstLineChars="0"/>
              <w:jc w:val="both"/>
              <w:textAlignment w:val="auto"/>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附件1：</w:t>
            </w:r>
          </w:p>
          <w:p>
            <w:pPr>
              <w:keepNext/>
              <w:keepLines w:val="0"/>
              <w:pageBreakBefore w:val="0"/>
              <w:widowControl/>
              <w:kinsoku/>
              <w:wordWrap/>
              <w:overflowPunct/>
              <w:topLinePunct w:val="0"/>
              <w:autoSpaceDE/>
              <w:autoSpaceDN/>
              <w:bidi w:val="0"/>
              <w:adjustRightInd/>
              <w:snapToGrid/>
              <w:spacing w:line="580" w:lineRule="exact"/>
              <w:ind w:firstLine="0"/>
              <w:jc w:val="center"/>
              <w:textAlignment w:val="auto"/>
              <w:rPr>
                <w:rFonts w:hint="eastAsia" w:ascii="Times New Roman" w:hAnsi="Times New Roman" w:eastAsia="宋体" w:cs="宋体"/>
                <w:b/>
                <w:sz w:val="28"/>
                <w:szCs w:val="28"/>
                <w:lang w:eastAsia="zh-CN"/>
              </w:rPr>
            </w:pPr>
            <w:r>
              <w:rPr>
                <w:rFonts w:hint="eastAsia" w:ascii="Times New Roman" w:hAnsi="Times New Roman" w:eastAsia="宋体" w:cs="宋体"/>
                <w:b/>
                <w:sz w:val="28"/>
                <w:szCs w:val="28"/>
                <w:lang w:eastAsia="zh-CN"/>
              </w:rPr>
              <w:t>大连商品交易所焦煤交割质量标准</w:t>
            </w:r>
          </w:p>
          <w:p>
            <w:pPr>
              <w:keepNext/>
              <w:keepLines w:val="0"/>
              <w:pageBreakBefore w:val="0"/>
              <w:suppressLineNumbers w:val="0"/>
              <w:kinsoku/>
              <w:wordWrap/>
              <w:overflowPunct/>
              <w:topLinePunct w:val="0"/>
              <w:autoSpaceDE/>
              <w:autoSpaceDN/>
              <w:bidi w:val="0"/>
              <w:adjustRightInd/>
              <w:snapToGrid/>
              <w:spacing w:before="0" w:beforeAutospacing="0" w:after="0" w:afterAutospacing="0" w:line="580" w:lineRule="exact"/>
              <w:ind w:left="0" w:leftChars="0" w:right="0" w:firstLine="0" w:firstLineChars="0"/>
              <w:jc w:val="center"/>
              <w:textAlignment w:val="auto"/>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（F/DCE JM003-2022）</w:t>
            </w:r>
          </w:p>
        </w:tc>
        <w:tc>
          <w:tcPr>
            <w:tcW w:w="6513" w:type="dxa"/>
            <w:noWrap w:val="0"/>
            <w:vAlign w:val="top"/>
          </w:tcPr>
          <w:p>
            <w:pPr>
              <w:keepNext/>
              <w:keepLines w:val="0"/>
              <w:pageBreakBefore w:val="0"/>
              <w:suppressLineNumbers w:val="0"/>
              <w:kinsoku/>
              <w:wordWrap/>
              <w:overflowPunct/>
              <w:topLinePunct w:val="0"/>
              <w:autoSpaceDE/>
              <w:autoSpaceDN/>
              <w:bidi w:val="0"/>
              <w:adjustRightInd/>
              <w:snapToGrid/>
              <w:spacing w:before="0" w:beforeAutospacing="0" w:after="0" w:afterAutospacing="0" w:line="580" w:lineRule="exact"/>
              <w:ind w:left="0" w:leftChars="0" w:right="0" w:firstLine="0" w:firstLineChars="0"/>
              <w:jc w:val="both"/>
              <w:textAlignment w:val="auto"/>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附件1：</w:t>
            </w:r>
          </w:p>
          <w:p>
            <w:pPr>
              <w:keepNext/>
              <w:keepLines w:val="0"/>
              <w:pageBreakBefore w:val="0"/>
              <w:widowControl/>
              <w:kinsoku/>
              <w:wordWrap/>
              <w:overflowPunct/>
              <w:topLinePunct w:val="0"/>
              <w:autoSpaceDE/>
              <w:autoSpaceDN/>
              <w:bidi w:val="0"/>
              <w:adjustRightInd/>
              <w:snapToGrid/>
              <w:spacing w:line="580" w:lineRule="exact"/>
              <w:ind w:firstLine="0"/>
              <w:jc w:val="center"/>
              <w:textAlignment w:val="auto"/>
              <w:rPr>
                <w:rFonts w:hint="eastAsia" w:ascii="Times New Roman" w:hAnsi="Times New Roman" w:eastAsia="宋体" w:cs="宋体"/>
                <w:b/>
                <w:sz w:val="28"/>
                <w:szCs w:val="28"/>
                <w:lang w:eastAsia="zh-CN"/>
              </w:rPr>
            </w:pPr>
            <w:r>
              <w:rPr>
                <w:rFonts w:hint="eastAsia" w:ascii="Times New Roman" w:hAnsi="Times New Roman" w:eastAsia="宋体" w:cs="宋体"/>
                <w:b/>
                <w:sz w:val="28"/>
                <w:szCs w:val="28"/>
                <w:lang w:eastAsia="zh-CN"/>
              </w:rPr>
              <w:t>大连商品交易所焦煤交割质量标准</w:t>
            </w:r>
          </w:p>
          <w:p>
            <w:pPr>
              <w:keepNext/>
              <w:keepLines w:val="0"/>
              <w:pageBreakBefore w:val="0"/>
              <w:suppressLineNumbers w:val="0"/>
              <w:kinsoku/>
              <w:wordWrap/>
              <w:overflowPunct/>
              <w:topLinePunct w:val="0"/>
              <w:autoSpaceDE/>
              <w:autoSpaceDN/>
              <w:bidi w:val="0"/>
              <w:adjustRightInd/>
              <w:snapToGrid/>
              <w:spacing w:before="0" w:beforeAutospacing="0" w:after="0" w:afterAutospacing="0" w:line="580" w:lineRule="exact"/>
              <w:ind w:left="0" w:leftChars="0" w:right="0" w:firstLine="0" w:firstLineChars="0"/>
              <w:jc w:val="center"/>
              <w:textAlignment w:val="auto"/>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val="en-US" w:eastAsia="zh-CN"/>
              </w:rPr>
              <w:t>（F/DCE JM00</w:t>
            </w:r>
            <w:r>
              <w:rPr>
                <w:rFonts w:hint="eastAsia" w:ascii="Times New Roman" w:hAnsi="Times New Roman" w:eastAsia="仿宋_GB2312" w:cs="仿宋_GB2312"/>
                <w:strike w:val="0"/>
                <w:dstrike/>
                <w:sz w:val="32"/>
                <w:szCs w:val="32"/>
                <w:vertAlign w:val="baseline"/>
                <w:lang w:val="en-US" w:eastAsia="zh-CN"/>
              </w:rPr>
              <w:t>3</w:t>
            </w:r>
            <w:r>
              <w:rPr>
                <w:rFonts w:hint="eastAsia" w:ascii="Times New Roman" w:hAnsi="Times New Roman" w:eastAsia="仿宋_GB2312" w:cs="仿宋_GB2312"/>
                <w:sz w:val="32"/>
                <w:szCs w:val="32"/>
                <w:shd w:val="clear" w:color="FFFFFF" w:fill="D9D9D9"/>
                <w:vertAlign w:val="baseline"/>
                <w:lang w:val="en-US" w:eastAsia="zh-CN"/>
              </w:rPr>
              <w:t>4</w:t>
            </w:r>
            <w:r>
              <w:rPr>
                <w:rFonts w:hint="eastAsia" w:ascii="Times New Roman" w:hAnsi="Times New Roman" w:eastAsia="仿宋_GB2312" w:cs="仿宋_GB2312"/>
                <w:sz w:val="32"/>
                <w:szCs w:val="32"/>
                <w:vertAlign w:val="baseline"/>
                <w:lang w:val="en-US" w:eastAsia="zh-CN"/>
              </w:rPr>
              <w:t>-202</w:t>
            </w:r>
            <w:r>
              <w:rPr>
                <w:rFonts w:hint="eastAsia" w:ascii="Times New Roman" w:hAnsi="Times New Roman" w:eastAsia="仿宋_GB2312" w:cs="仿宋_GB2312"/>
                <w:strike w:val="0"/>
                <w:dstrike/>
                <w:sz w:val="32"/>
                <w:szCs w:val="32"/>
                <w:vertAlign w:val="baseline"/>
                <w:lang w:val="en-US" w:eastAsia="zh-CN"/>
              </w:rPr>
              <w:t>2</w:t>
            </w:r>
            <w:r>
              <w:rPr>
                <w:rFonts w:hint="eastAsia" w:ascii="Times New Roman" w:hAnsi="Times New Roman" w:eastAsia="仿宋_GB2312" w:cs="仿宋_GB2312"/>
                <w:sz w:val="32"/>
                <w:szCs w:val="32"/>
                <w:shd w:val="clear" w:color="FFFFFF" w:fill="D9D9D9"/>
                <w:vertAlign w:val="baseline"/>
                <w:lang w:val="en-US" w:eastAsia="zh-CN"/>
              </w:rPr>
              <w:t>5</w:t>
            </w:r>
            <w:r>
              <w:rPr>
                <w:rFonts w:hint="eastAsia" w:ascii="Times New Roman" w:hAnsi="Times New Roman" w:eastAsia="仿宋_GB2312" w:cs="仿宋_GB2312"/>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2 规范性引用文件</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下列文件中的条款通过本标准的引用而成为本标准的条款。凡是注日期的引用文件，其随后所有的修改单（不包括勘误的内容）或修订版均不适用于本标准。凡是不注日期的引用文件，其最新版本适用于本标准。</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5751 中国煤炭分类</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212 煤的工业分析方法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214 煤中全硫的测定方法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479 烟煤胶质层指数测定方法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5447 烟煤黏结指数测定方法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6948 煤的镜质体反射率显微镜测定方法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15591 商品煤混煤类型的判别方法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3715 煤质及煤分析有关术语</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475 商品煤样人工采取方法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4000 焦炭反应性及反应后强度试验方法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8170 数值修约规则与极限数值的表示和判定</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MT/T 1181 炼焦煤炼焦试验方法</w:t>
            </w:r>
          </w:p>
        </w:tc>
        <w:tc>
          <w:tcPr>
            <w:tcW w:w="6513" w:type="dxa"/>
            <w:noWrap w:val="0"/>
            <w:vAlign w:val="top"/>
          </w:tcPr>
          <w:p>
            <w:pPr>
              <w:keepNext w:val="0"/>
              <w:keepLines w:val="0"/>
              <w:suppressLineNumbers w:val="0"/>
              <w:spacing w:before="0" w:beforeAutospacing="0" w:after="0" w:afterAutospacing="0" w:line="580" w:lineRule="exact"/>
              <w:ind w:left="0" w:leftChars="0" w:right="0" w:firstLine="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2 规范性引用文件</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下列文件中的条款通过本标准的引用而成为本标准的条款。凡是注日期的引用文件，其随后所有的修改单（不包括勘误的内容）或修订版均不适用于本标准。凡是不注日期的引用文件，其最新版本适用于本标准。</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5751 中国煤炭分类</w:t>
            </w:r>
          </w:p>
          <w:p>
            <w:pPr>
              <w:keepNext w:val="0"/>
              <w:keepLines w:val="0"/>
              <w:suppressLineNumbers w:val="0"/>
              <w:spacing w:before="0" w:beforeAutospacing="0" w:after="0" w:afterAutospacing="0" w:line="580" w:lineRule="exact"/>
              <w:ind w:left="0" w:leftChars="0" w:right="0" w:firstLine="640" w:firstLineChars="0"/>
              <w:jc w:val="left"/>
              <w:rPr>
                <w:rFonts w:hint="default" w:ascii="Times New Roman" w:hAnsi="Times New Roman" w:eastAsia="仿宋_GB2312" w:cs="仿宋_GB2312"/>
                <w:sz w:val="32"/>
                <w:szCs w:val="32"/>
                <w:shd w:val="clear" w:color="FFFFFF" w:fill="D9D9D9"/>
                <w:vertAlign w:val="baseline"/>
                <w:lang w:val="en-US" w:eastAsia="zh-CN"/>
              </w:rPr>
            </w:pPr>
            <w:r>
              <w:rPr>
                <w:rFonts w:hint="eastAsia" w:ascii="Times New Roman" w:hAnsi="Times New Roman" w:eastAsia="仿宋_GB2312" w:cs="仿宋_GB2312"/>
                <w:sz w:val="32"/>
                <w:szCs w:val="32"/>
                <w:shd w:val="clear" w:color="FFFFFF" w:fill="D9D9D9"/>
                <w:vertAlign w:val="baseline"/>
                <w:lang w:eastAsia="zh-CN"/>
              </w:rPr>
              <w:t>GB/T 211</w:t>
            </w:r>
            <w:r>
              <w:rPr>
                <w:rFonts w:hint="eastAsia" w:ascii="Times New Roman" w:hAnsi="Times New Roman" w:eastAsia="仿宋_GB2312" w:cs="仿宋_GB2312"/>
                <w:sz w:val="32"/>
                <w:szCs w:val="32"/>
                <w:shd w:val="clear" w:color="FFFFFF" w:fill="D9D9D9"/>
                <w:vertAlign w:val="baseline"/>
                <w:lang w:val="en-US" w:eastAsia="zh-CN"/>
              </w:rPr>
              <w:t xml:space="preserve"> 煤中全水分的测定方法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212 煤的工业分析方法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214 煤中全硫的测定方法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479 烟煤胶质层指数测定方法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5447 烟煤黏结指数测定方法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6948 煤的镜质体反射率显微镜测定方法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15591 商品煤混煤类型的判别方法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3715 煤质及煤分析有关术语</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475 商品煤样人工采取方法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4000 焦炭反应性及反应后强度试验方法</w:t>
            </w:r>
          </w:p>
          <w:p>
            <w:pPr>
              <w:keepNext w:val="0"/>
              <w:keepLines w:val="0"/>
              <w:suppressLineNumbers w:val="0"/>
              <w:spacing w:before="0" w:beforeAutospacing="0" w:after="0" w:afterAutospacing="0" w:line="580" w:lineRule="exact"/>
              <w:ind w:left="0" w:leftChars="0" w:right="0" w:firstLine="64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GB/T 8170 数值修约规则与极限数值的表示和判定</w:t>
            </w:r>
          </w:p>
          <w:p>
            <w:pPr>
              <w:keepNext w:val="0"/>
              <w:keepLines w:val="0"/>
              <w:suppressLineNumbers w:val="0"/>
              <w:spacing w:before="0" w:beforeAutospacing="0" w:after="0" w:afterAutospacing="0" w:line="580" w:lineRule="exact"/>
              <w:ind w:left="0" w:leftChars="0" w:right="0" w:firstLine="640" w:firstLineChars="200"/>
              <w:jc w:val="left"/>
              <w:rPr>
                <w:rFonts w:hint="eastAsia" w:ascii="Times New Roman" w:hAnsi="Times New Roman" w:eastAsia="仿宋_GB2312" w:cs="仿宋_GB2312"/>
                <w:sz w:val="32"/>
                <w:szCs w:val="32"/>
                <w:vertAlign w:val="baseline"/>
                <w:lang w:val="en-US" w:eastAsia="zh-CN"/>
              </w:rPr>
            </w:pPr>
            <w:r>
              <w:rPr>
                <w:rFonts w:hint="eastAsia" w:ascii="Times New Roman" w:hAnsi="Times New Roman" w:eastAsia="仿宋_GB2312" w:cs="仿宋_GB2312"/>
                <w:sz w:val="32"/>
                <w:szCs w:val="32"/>
                <w:vertAlign w:val="baseline"/>
                <w:lang w:eastAsia="zh-CN"/>
              </w:rPr>
              <w:t>MT/T 1181 炼焦煤炼焦试验方法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4 质量要求</w:t>
            </w:r>
          </w:p>
          <w:p>
            <w:pPr>
              <w:keepNext w:val="0"/>
              <w:keepLines w:val="0"/>
              <w:suppressLineNumbers w:val="0"/>
              <w:spacing w:before="0" w:beforeAutospacing="0" w:after="0" w:afterAutospacing="0" w:line="580" w:lineRule="exact"/>
              <w:ind w:left="0" w:leftChars="0" w:right="0" w:firstLine="640" w:firstLineChars="20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4.1 标准品质量要求</w:t>
            </w:r>
          </w:p>
          <w:tbl>
            <w:tblPr>
              <w:tblStyle w:val="6"/>
              <w:tblW w:w="6439" w:type="dxa"/>
              <w:tblInd w:w="-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3355"/>
              <w:gridCol w:w="1934"/>
              <w:gridCol w:w="115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指标</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质量标准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灰分（A</w:t>
                  </w:r>
                  <w:r>
                    <w:rPr>
                      <w:rFonts w:hint="eastAsia" w:ascii="Times New Roman" w:hAnsi="Times New Roman" w:eastAsia="仿宋" w:cs="仿宋"/>
                      <w:i w:val="0"/>
                      <w:iCs w:val="0"/>
                      <w:caps w:val="0"/>
                      <w:color w:val="auto"/>
                      <w:spacing w:val="0"/>
                      <w:sz w:val="32"/>
                      <w:szCs w:val="32"/>
                      <w:vertAlign w:val="subscript"/>
                    </w:rPr>
                    <w:t>d</w:t>
                  </w:r>
                  <w:r>
                    <w:rPr>
                      <w:rFonts w:hint="eastAsia" w:ascii="Times New Roman" w:hAnsi="Times New Roman" w:eastAsia="仿宋" w:cs="仿宋"/>
                      <w:i w:val="0"/>
                      <w:iCs w:val="0"/>
                      <w:caps w:val="0"/>
                      <w:color w:val="auto"/>
                      <w:spacing w:val="0"/>
                      <w:sz w:val="32"/>
                      <w:szCs w:val="32"/>
                    </w:rPr>
                    <w:t>）</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硫分(S</w:t>
                  </w:r>
                  <w:r>
                    <w:rPr>
                      <w:rFonts w:hint="eastAsia" w:ascii="Times New Roman" w:hAnsi="Times New Roman" w:eastAsia="仿宋" w:cs="仿宋"/>
                      <w:i w:val="0"/>
                      <w:iCs w:val="0"/>
                      <w:caps w:val="0"/>
                      <w:color w:val="auto"/>
                      <w:spacing w:val="0"/>
                      <w:sz w:val="32"/>
                      <w:szCs w:val="32"/>
                      <w:vertAlign w:val="subscript"/>
                    </w:rPr>
                    <w:t>t,d</w:t>
                  </w:r>
                  <w:r>
                    <w:rPr>
                      <w:rFonts w:hint="eastAsia" w:ascii="Times New Roman" w:hAnsi="Times New Roman" w:eastAsia="仿宋" w:cs="仿宋"/>
                      <w:i w:val="0"/>
                      <w:iCs w:val="0"/>
                      <w:caps w:val="0"/>
                      <w:color w:val="auto"/>
                      <w:spacing w:val="0"/>
                      <w:sz w:val="32"/>
                      <w:szCs w:val="32"/>
                    </w:rPr>
                    <w:t>)</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1.30%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挥发分（V</w:t>
                  </w:r>
                  <w:r>
                    <w:rPr>
                      <w:rFonts w:hint="eastAsia" w:ascii="Times New Roman" w:hAnsi="Times New Roman" w:eastAsia="仿宋" w:cs="仿宋"/>
                      <w:i w:val="0"/>
                      <w:iCs w:val="0"/>
                      <w:caps w:val="0"/>
                      <w:color w:val="auto"/>
                      <w:spacing w:val="0"/>
                      <w:sz w:val="32"/>
                      <w:szCs w:val="32"/>
                      <w:vertAlign w:val="subscript"/>
                    </w:rPr>
                    <w:t>daf</w:t>
                  </w:r>
                  <w:r>
                    <w:rPr>
                      <w:rFonts w:hint="eastAsia" w:ascii="Times New Roman" w:hAnsi="Times New Roman" w:eastAsia="仿宋" w:cs="仿宋"/>
                      <w:i w:val="0"/>
                      <w:iCs w:val="0"/>
                      <w:caps w:val="0"/>
                      <w:color w:val="auto"/>
                      <w:spacing w:val="0"/>
                      <w:sz w:val="32"/>
                      <w:szCs w:val="32"/>
                    </w:rPr>
                    <w:t>）</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[16.0%,26.0%]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黏结指数（G</w:t>
                  </w:r>
                  <w:r>
                    <w:rPr>
                      <w:rFonts w:hint="eastAsia" w:ascii="Times New Roman" w:hAnsi="Times New Roman" w:eastAsia="仿宋" w:cs="仿宋"/>
                      <w:i w:val="0"/>
                      <w:iCs w:val="0"/>
                      <w:caps w:val="0"/>
                      <w:color w:val="auto"/>
                      <w:spacing w:val="0"/>
                      <w:sz w:val="32"/>
                      <w:szCs w:val="32"/>
                      <w:vertAlign w:val="subscript"/>
                    </w:rPr>
                    <w:t>R.I</w:t>
                  </w:r>
                  <w:r>
                    <w:rPr>
                      <w:rFonts w:hint="eastAsia" w:ascii="Times New Roman" w:hAnsi="Times New Roman" w:eastAsia="仿宋" w:cs="仿宋"/>
                      <w:i w:val="0"/>
                      <w:iCs w:val="0"/>
                      <w:caps w:val="0"/>
                      <w:color w:val="auto"/>
                      <w:spacing w:val="0"/>
                      <w:sz w:val="32"/>
                      <w:szCs w:val="32"/>
                    </w:rPr>
                    <w:t>）</w:t>
                  </w:r>
                </w:p>
              </w:tc>
              <w:tc>
                <w:tcPr>
                  <w:tcW w:w="193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入库≥75</w:t>
                  </w:r>
                </w:p>
              </w:tc>
              <w:tc>
                <w:tcPr>
                  <w:tcW w:w="115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出库&gt;65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胶质层最大厚度（Y）</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≥10.0mm</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971"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试验焦炉生成焦炭反应后强度（CSR）</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[60%,65%)</w:t>
                  </w:r>
                </w:p>
              </w:tc>
            </w:tr>
          </w:tbl>
          <w:p>
            <w:pPr>
              <w:keepNext w:val="0"/>
              <w:keepLines w:val="0"/>
              <w:suppressLineNumbers w:val="0"/>
              <w:spacing w:before="0" w:beforeAutospacing="0" w:after="0" w:afterAutospacing="0" w:line="580" w:lineRule="exact"/>
              <w:ind w:left="0" w:leftChars="0" w:right="0" w:firstLine="0" w:firstLineChars="0"/>
              <w:jc w:val="left"/>
              <w:rPr>
                <w:rFonts w:hint="eastAsia" w:ascii="Times New Roman" w:hAnsi="Times New Roman" w:eastAsia="仿宋_GB2312" w:cs="仿宋_GB2312"/>
                <w:sz w:val="32"/>
                <w:szCs w:val="32"/>
                <w:vertAlign w:val="baseline"/>
                <w:lang w:eastAsia="zh-CN"/>
              </w:rPr>
            </w:pPr>
          </w:p>
        </w:tc>
        <w:tc>
          <w:tcPr>
            <w:tcW w:w="6513" w:type="dxa"/>
            <w:noWrap w:val="0"/>
            <w:vAlign w:val="top"/>
          </w:tcPr>
          <w:p>
            <w:pPr>
              <w:keepNext w:val="0"/>
              <w:keepLines w:val="0"/>
              <w:suppressLineNumbers w:val="0"/>
              <w:spacing w:before="0" w:beforeAutospacing="0" w:after="0" w:afterAutospacing="0" w:line="580" w:lineRule="exact"/>
              <w:ind w:left="0" w:leftChars="0" w:right="0" w:firstLine="0" w:firstLineChars="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4 质量要求</w:t>
            </w:r>
          </w:p>
          <w:p>
            <w:pPr>
              <w:keepNext w:val="0"/>
              <w:keepLines w:val="0"/>
              <w:suppressLineNumbers w:val="0"/>
              <w:spacing w:before="0" w:beforeAutospacing="0" w:after="0" w:afterAutospacing="0" w:line="580" w:lineRule="exact"/>
              <w:ind w:left="0" w:leftChars="0" w:right="0" w:firstLine="640" w:firstLineChars="20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4.1 标准品质量要求</w:t>
            </w:r>
          </w:p>
          <w:tbl>
            <w:tblPr>
              <w:tblStyle w:val="6"/>
              <w:tblW w:w="6439" w:type="dxa"/>
              <w:tblInd w:w="-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3355"/>
              <w:gridCol w:w="1934"/>
              <w:gridCol w:w="115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指标</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质量标准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灰分（A</w:t>
                  </w:r>
                  <w:r>
                    <w:rPr>
                      <w:rFonts w:hint="eastAsia" w:ascii="Times New Roman" w:hAnsi="Times New Roman" w:eastAsia="仿宋" w:cs="仿宋"/>
                      <w:i w:val="0"/>
                      <w:iCs w:val="0"/>
                      <w:caps w:val="0"/>
                      <w:color w:val="auto"/>
                      <w:spacing w:val="0"/>
                      <w:sz w:val="32"/>
                      <w:szCs w:val="32"/>
                      <w:vertAlign w:val="subscript"/>
                    </w:rPr>
                    <w:t>d</w:t>
                  </w:r>
                  <w:r>
                    <w:rPr>
                      <w:rFonts w:hint="eastAsia" w:ascii="Times New Roman" w:hAnsi="Times New Roman" w:eastAsia="仿宋" w:cs="仿宋"/>
                      <w:i w:val="0"/>
                      <w:iCs w:val="0"/>
                      <w:caps w:val="0"/>
                      <w:color w:val="auto"/>
                      <w:spacing w:val="0"/>
                      <w:sz w:val="32"/>
                      <w:szCs w:val="32"/>
                    </w:rPr>
                    <w:t>）</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10.5</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硫分(S</w:t>
                  </w:r>
                  <w:r>
                    <w:rPr>
                      <w:rFonts w:hint="eastAsia" w:ascii="Times New Roman" w:hAnsi="Times New Roman" w:eastAsia="仿宋" w:cs="仿宋"/>
                      <w:i w:val="0"/>
                      <w:iCs w:val="0"/>
                      <w:caps w:val="0"/>
                      <w:color w:val="auto"/>
                      <w:spacing w:val="0"/>
                      <w:sz w:val="32"/>
                      <w:szCs w:val="32"/>
                      <w:vertAlign w:val="subscript"/>
                    </w:rPr>
                    <w:t>t,d</w:t>
                  </w:r>
                  <w:r>
                    <w:rPr>
                      <w:rFonts w:hint="eastAsia" w:ascii="Times New Roman" w:hAnsi="Times New Roman" w:eastAsia="仿宋" w:cs="仿宋"/>
                      <w:i w:val="0"/>
                      <w:iCs w:val="0"/>
                      <w:caps w:val="0"/>
                      <w:color w:val="auto"/>
                      <w:spacing w:val="0"/>
                      <w:sz w:val="32"/>
                      <w:szCs w:val="32"/>
                    </w:rPr>
                    <w:t>)</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1.30%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挥发分（V</w:t>
                  </w:r>
                  <w:r>
                    <w:rPr>
                      <w:rFonts w:hint="eastAsia" w:ascii="Times New Roman" w:hAnsi="Times New Roman" w:eastAsia="仿宋" w:cs="仿宋"/>
                      <w:i w:val="0"/>
                      <w:iCs w:val="0"/>
                      <w:caps w:val="0"/>
                      <w:color w:val="auto"/>
                      <w:spacing w:val="0"/>
                      <w:sz w:val="32"/>
                      <w:szCs w:val="32"/>
                      <w:vertAlign w:val="subscript"/>
                    </w:rPr>
                    <w:t>daf</w:t>
                  </w:r>
                  <w:r>
                    <w:rPr>
                      <w:rFonts w:hint="eastAsia" w:ascii="Times New Roman" w:hAnsi="Times New Roman" w:eastAsia="仿宋" w:cs="仿宋"/>
                      <w:i w:val="0"/>
                      <w:iCs w:val="0"/>
                      <w:caps w:val="0"/>
                      <w:color w:val="auto"/>
                      <w:spacing w:val="0"/>
                      <w:sz w:val="32"/>
                      <w:szCs w:val="32"/>
                    </w:rPr>
                    <w:t>）</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[16.0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%,26.0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黏结指数（G</w:t>
                  </w:r>
                  <w:r>
                    <w:rPr>
                      <w:rFonts w:hint="eastAsia" w:ascii="Times New Roman" w:hAnsi="Times New Roman" w:eastAsia="仿宋" w:cs="仿宋"/>
                      <w:i w:val="0"/>
                      <w:iCs w:val="0"/>
                      <w:caps w:val="0"/>
                      <w:color w:val="auto"/>
                      <w:spacing w:val="0"/>
                      <w:sz w:val="32"/>
                      <w:szCs w:val="32"/>
                      <w:vertAlign w:val="subscript"/>
                    </w:rPr>
                    <w:t>R.I</w:t>
                  </w:r>
                  <w:r>
                    <w:rPr>
                      <w:rFonts w:hint="eastAsia" w:ascii="Times New Roman" w:hAnsi="Times New Roman" w:eastAsia="仿宋" w:cs="仿宋"/>
                      <w:i w:val="0"/>
                      <w:iCs w:val="0"/>
                      <w:caps w:val="0"/>
                      <w:color w:val="auto"/>
                      <w:spacing w:val="0"/>
                      <w:sz w:val="32"/>
                      <w:szCs w:val="32"/>
                    </w:rPr>
                    <w:t>）</w:t>
                  </w:r>
                </w:p>
              </w:tc>
              <w:tc>
                <w:tcPr>
                  <w:tcW w:w="193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入库≥75</w:t>
                  </w:r>
                </w:p>
              </w:tc>
              <w:tc>
                <w:tcPr>
                  <w:tcW w:w="115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出库&gt;65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5"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胶质层最大厚度（Y）</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≥10.0mm</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971" w:hRule="atLeast"/>
              </w:trPr>
              <w:tc>
                <w:tcPr>
                  <w:tcW w:w="3355"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试验焦炉生成焦炭反应后强度（CSR）</w:t>
                  </w:r>
                </w:p>
              </w:tc>
              <w:tc>
                <w:tcPr>
                  <w:tcW w:w="3084"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strike w:val="0"/>
                      <w:dstrike/>
                      <w:color w:val="auto"/>
                      <w:spacing w:val="0"/>
                      <w:sz w:val="32"/>
                      <w:szCs w:val="32"/>
                    </w:rPr>
                    <w:t>[60%,65%)</w:t>
                  </w:r>
                  <w:r>
                    <w:rPr>
                      <w:rFonts w:hint="eastAsia" w:ascii="Times New Roman" w:hAnsi="Times New Roman" w:eastAsia="仿宋" w:cs="仿宋"/>
                      <w:i w:val="0"/>
                      <w:iCs w:val="0"/>
                      <w:caps w:val="0"/>
                      <w:color w:val="auto"/>
                      <w:spacing w:val="0"/>
                      <w:sz w:val="32"/>
                      <w:szCs w:val="32"/>
                      <w:shd w:val="clear" w:color="FFFFFF" w:fill="D9D9D9"/>
                    </w:rPr>
                    <w:t>≥65.0%</w:t>
                  </w:r>
                </w:p>
              </w:tc>
            </w:tr>
          </w:tbl>
          <w:p>
            <w:pPr>
              <w:keepNext w:val="0"/>
              <w:keepLines w:val="0"/>
              <w:suppressLineNumbers w:val="0"/>
              <w:spacing w:before="0" w:beforeAutospacing="0" w:after="0" w:afterAutospacing="0" w:line="580" w:lineRule="exact"/>
              <w:ind w:left="0" w:leftChars="0" w:right="0" w:firstLine="0" w:firstLineChars="0"/>
              <w:jc w:val="left"/>
              <w:rPr>
                <w:rFonts w:hint="eastAsia" w:ascii="Times New Roman" w:hAnsi="Times New Roman" w:eastAsia="仿宋_GB2312" w:cs="仿宋_GB2312"/>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640" w:firstLineChars="20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4.2 替代品质量差异与升贴水</w:t>
            </w:r>
          </w:p>
          <w:tbl>
            <w:tblPr>
              <w:tblStyle w:val="6"/>
              <w:tblW w:w="6419" w:type="dxa"/>
              <w:tblInd w:w="-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1570"/>
              <w:gridCol w:w="1343"/>
              <w:gridCol w:w="2404"/>
              <w:gridCol w:w="110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530" w:hRule="atLeast"/>
              </w:trPr>
              <w:tc>
                <w:tcPr>
                  <w:tcW w:w="15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指标</w:t>
                  </w:r>
                </w:p>
              </w:tc>
              <w:tc>
                <w:tcPr>
                  <w:tcW w:w="1343"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允许范围</w:t>
                  </w:r>
                </w:p>
              </w:tc>
              <w:tc>
                <w:tcPr>
                  <w:tcW w:w="3506"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升贴水（元/吨）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530" w:hRule="atLeast"/>
              </w:trPr>
              <w:tc>
                <w:tcPr>
                  <w:tcW w:w="1570"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灰分（A</w:t>
                  </w:r>
                  <w:r>
                    <w:rPr>
                      <w:rFonts w:hint="eastAsia" w:ascii="Times New Roman" w:hAnsi="Times New Roman" w:eastAsia="仿宋" w:cs="仿宋"/>
                      <w:i w:val="0"/>
                      <w:iCs w:val="0"/>
                      <w:caps w:val="0"/>
                      <w:color w:val="auto"/>
                      <w:spacing w:val="0"/>
                      <w:sz w:val="32"/>
                      <w:szCs w:val="32"/>
                      <w:vertAlign w:val="subscript"/>
                    </w:rPr>
                    <w:t>d</w:t>
                  </w:r>
                  <w:r>
                    <w:rPr>
                      <w:rFonts w:hint="eastAsia" w:ascii="Times New Roman" w:hAnsi="Times New Roman" w:eastAsia="仿宋" w:cs="仿宋"/>
                      <w:i w:val="0"/>
                      <w:iCs w:val="0"/>
                      <w:caps w:val="0"/>
                      <w:color w:val="auto"/>
                      <w:spacing w:val="0"/>
                      <w:sz w:val="32"/>
                      <w:szCs w:val="32"/>
                    </w:rPr>
                    <w:t>）</w:t>
                  </w:r>
                </w:p>
              </w:tc>
              <w:tc>
                <w:tcPr>
                  <w:tcW w:w="1343"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≤11.0%</w:t>
                  </w:r>
                </w:p>
              </w:tc>
              <w:tc>
                <w:tcPr>
                  <w:tcW w:w="24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(10.5%,11.0%]</w:t>
                  </w:r>
                </w:p>
              </w:tc>
              <w:tc>
                <w:tcPr>
                  <w:tcW w:w="1102"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扣价30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530" w:hRule="atLeast"/>
              </w:trPr>
              <w:tc>
                <w:tcPr>
                  <w:tcW w:w="1570"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1343"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24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(10.0%,10.5%)</w:t>
                  </w:r>
                </w:p>
              </w:tc>
              <w:tc>
                <w:tcPr>
                  <w:tcW w:w="1102"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升价0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530" w:hRule="atLeast"/>
              </w:trPr>
              <w:tc>
                <w:tcPr>
                  <w:tcW w:w="1570"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1343"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24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≤10.0%</w:t>
                  </w:r>
                </w:p>
              </w:tc>
              <w:tc>
                <w:tcPr>
                  <w:tcW w:w="1102"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升价30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047" w:hRule="atLeast"/>
              </w:trPr>
              <w:tc>
                <w:tcPr>
                  <w:tcW w:w="1570"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硫分(S</w:t>
                  </w:r>
                  <w:r>
                    <w:rPr>
                      <w:rFonts w:hint="eastAsia" w:ascii="Times New Roman" w:hAnsi="Times New Roman" w:eastAsia="仿宋" w:cs="仿宋"/>
                      <w:i w:val="0"/>
                      <w:iCs w:val="0"/>
                      <w:caps w:val="0"/>
                      <w:color w:val="auto"/>
                      <w:spacing w:val="0"/>
                      <w:sz w:val="32"/>
                      <w:szCs w:val="32"/>
                      <w:vertAlign w:val="subscript"/>
                    </w:rPr>
                    <w:t>t,d</w:t>
                  </w:r>
                  <w:r>
                    <w:rPr>
                      <w:rFonts w:hint="eastAsia" w:ascii="Times New Roman" w:hAnsi="Times New Roman" w:eastAsia="仿宋" w:cs="仿宋"/>
                      <w:i w:val="0"/>
                      <w:iCs w:val="0"/>
                      <w:caps w:val="0"/>
                      <w:color w:val="auto"/>
                      <w:spacing w:val="0"/>
                      <w:sz w:val="32"/>
                      <w:szCs w:val="32"/>
                    </w:rPr>
                    <w:t>)</w:t>
                  </w:r>
                </w:p>
              </w:tc>
              <w:tc>
                <w:tcPr>
                  <w:tcW w:w="1343"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≤1.60%</w:t>
                  </w:r>
                </w:p>
              </w:tc>
              <w:tc>
                <w:tcPr>
                  <w:tcW w:w="24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(1.30%,1.60%]</w:t>
                  </w:r>
                </w:p>
              </w:tc>
              <w:tc>
                <w:tcPr>
                  <w:tcW w:w="1102"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每升高0.01%，扣价5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305" w:hRule="atLeast"/>
              </w:trPr>
              <w:tc>
                <w:tcPr>
                  <w:tcW w:w="1570"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1343"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24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[0.70%,1.30%)</w:t>
                  </w:r>
                </w:p>
              </w:tc>
              <w:tc>
                <w:tcPr>
                  <w:tcW w:w="1102"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每降低0.01%，升价2.5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530" w:hRule="atLeast"/>
              </w:trPr>
              <w:tc>
                <w:tcPr>
                  <w:tcW w:w="1570"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1343"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24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&lt;0.70%</w:t>
                  </w:r>
                </w:p>
              </w:tc>
              <w:tc>
                <w:tcPr>
                  <w:tcW w:w="1102"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以0.70%计价</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788" w:hRule="atLeast"/>
              </w:trPr>
              <w:tc>
                <w:tcPr>
                  <w:tcW w:w="15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挥发分（V</w:t>
                  </w:r>
                  <w:r>
                    <w:rPr>
                      <w:rFonts w:hint="eastAsia" w:ascii="Times New Roman" w:hAnsi="Times New Roman" w:eastAsia="仿宋" w:cs="仿宋"/>
                      <w:i w:val="0"/>
                      <w:iCs w:val="0"/>
                      <w:caps w:val="0"/>
                      <w:color w:val="auto"/>
                      <w:spacing w:val="0"/>
                      <w:sz w:val="32"/>
                      <w:szCs w:val="32"/>
                      <w:vertAlign w:val="subscript"/>
                    </w:rPr>
                    <w:t>daf</w:t>
                  </w:r>
                  <w:r>
                    <w:rPr>
                      <w:rFonts w:hint="eastAsia" w:ascii="Times New Roman" w:hAnsi="Times New Roman" w:eastAsia="仿宋" w:cs="仿宋"/>
                      <w:i w:val="0"/>
                      <w:iCs w:val="0"/>
                      <w:caps w:val="0"/>
                      <w:color w:val="auto"/>
                      <w:spacing w:val="0"/>
                      <w:sz w:val="32"/>
                      <w:szCs w:val="32"/>
                    </w:rPr>
                    <w:t>）</w:t>
                  </w:r>
                </w:p>
              </w:tc>
              <w:tc>
                <w:tcPr>
                  <w:tcW w:w="1343"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[16.0%,28.0%]</w:t>
                  </w:r>
                </w:p>
              </w:tc>
              <w:tc>
                <w:tcPr>
                  <w:tcW w:w="24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（26.0%,28.0%]</w:t>
                  </w:r>
                </w:p>
              </w:tc>
              <w:tc>
                <w:tcPr>
                  <w:tcW w:w="1102"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扣价50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315" w:hRule="atLeast"/>
              </w:trPr>
              <w:tc>
                <w:tcPr>
                  <w:tcW w:w="1570"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试验焦炉生成焦炭反应后强度（CSR）</w:t>
                  </w:r>
                </w:p>
              </w:tc>
              <w:tc>
                <w:tcPr>
                  <w:tcW w:w="1343"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≥60%</w:t>
                  </w:r>
                </w:p>
              </w:tc>
              <w:tc>
                <w:tcPr>
                  <w:tcW w:w="240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≥65%</w:t>
                  </w:r>
                </w:p>
              </w:tc>
              <w:tc>
                <w:tcPr>
                  <w:tcW w:w="1102"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升价80</w:t>
                  </w:r>
                </w:p>
              </w:tc>
            </w:tr>
          </w:tbl>
          <w:p>
            <w:pPr>
              <w:keepNext w:val="0"/>
              <w:keepLines w:val="0"/>
              <w:suppressLineNumbers w:val="0"/>
              <w:spacing w:before="0" w:beforeAutospacing="0" w:after="0" w:afterAutospacing="0" w:line="580" w:lineRule="exact"/>
              <w:ind w:left="0" w:leftChars="0" w:right="0" w:firstLine="0" w:firstLineChars="0"/>
              <w:jc w:val="left"/>
              <w:rPr>
                <w:rFonts w:hint="eastAsia" w:ascii="Times New Roman" w:hAnsi="Times New Roman" w:eastAsia="仿宋_GB2312" w:cs="仿宋_GB2312"/>
                <w:sz w:val="32"/>
                <w:szCs w:val="32"/>
                <w:vertAlign w:val="baseline"/>
                <w:lang w:eastAsia="zh-CN"/>
              </w:rPr>
            </w:pPr>
          </w:p>
        </w:tc>
        <w:tc>
          <w:tcPr>
            <w:tcW w:w="6513" w:type="dxa"/>
            <w:noWrap w:val="0"/>
            <w:vAlign w:val="top"/>
          </w:tcPr>
          <w:p>
            <w:pPr>
              <w:keepNext w:val="0"/>
              <w:keepLines w:val="0"/>
              <w:suppressLineNumbers w:val="0"/>
              <w:spacing w:before="0" w:beforeAutospacing="0" w:after="0" w:afterAutospacing="0" w:line="580" w:lineRule="exact"/>
              <w:ind w:left="0" w:leftChars="0" w:right="0" w:firstLine="640" w:firstLineChars="20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4.2 替代品质量差异与升贴水</w:t>
            </w:r>
          </w:p>
          <w:tbl>
            <w:tblPr>
              <w:tblStyle w:val="6"/>
              <w:tblW w:w="6258" w:type="dxa"/>
              <w:tblInd w:w="-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1531"/>
              <w:gridCol w:w="1309"/>
              <w:gridCol w:w="2344"/>
              <w:gridCol w:w="107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822" w:hRule="atLeast"/>
              </w:trPr>
              <w:tc>
                <w:tcPr>
                  <w:tcW w:w="1531"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指标</w:t>
                  </w:r>
                </w:p>
              </w:tc>
              <w:tc>
                <w:tcPr>
                  <w:tcW w:w="1309"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允许范围</w:t>
                  </w:r>
                </w:p>
              </w:tc>
              <w:tc>
                <w:tcPr>
                  <w:tcW w:w="3418" w:type="dxa"/>
                  <w:gridSpan w:val="2"/>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升贴水（元/吨）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822" w:hRule="atLeast"/>
              </w:trPr>
              <w:tc>
                <w:tcPr>
                  <w:tcW w:w="1531"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灰分（A</w:t>
                  </w:r>
                  <w:r>
                    <w:rPr>
                      <w:rFonts w:hint="eastAsia" w:ascii="Times New Roman" w:hAnsi="Times New Roman" w:eastAsia="仿宋" w:cs="仿宋"/>
                      <w:i w:val="0"/>
                      <w:iCs w:val="0"/>
                      <w:caps w:val="0"/>
                      <w:color w:val="auto"/>
                      <w:spacing w:val="0"/>
                      <w:sz w:val="32"/>
                      <w:szCs w:val="32"/>
                      <w:vertAlign w:val="subscript"/>
                    </w:rPr>
                    <w:t>d</w:t>
                  </w:r>
                  <w:r>
                    <w:rPr>
                      <w:rFonts w:hint="eastAsia" w:ascii="Times New Roman" w:hAnsi="Times New Roman" w:eastAsia="仿宋" w:cs="仿宋"/>
                      <w:i w:val="0"/>
                      <w:iCs w:val="0"/>
                      <w:caps w:val="0"/>
                      <w:color w:val="auto"/>
                      <w:spacing w:val="0"/>
                      <w:sz w:val="32"/>
                      <w:szCs w:val="32"/>
                    </w:rPr>
                    <w:t>）</w:t>
                  </w:r>
                </w:p>
              </w:tc>
              <w:tc>
                <w:tcPr>
                  <w:tcW w:w="1309"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≤11.0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w:t>
                  </w:r>
                </w:p>
              </w:tc>
              <w:tc>
                <w:tcPr>
                  <w:tcW w:w="234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(10.5</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%,11.0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w:t>
                  </w:r>
                </w:p>
              </w:tc>
              <w:tc>
                <w:tcPr>
                  <w:tcW w:w="107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扣价30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822" w:hRule="atLeast"/>
              </w:trPr>
              <w:tc>
                <w:tcPr>
                  <w:tcW w:w="1531"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1309"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234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%,10.5</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w:t>
                  </w:r>
                </w:p>
              </w:tc>
              <w:tc>
                <w:tcPr>
                  <w:tcW w:w="107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升价0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822" w:hRule="atLeast"/>
              </w:trPr>
              <w:tc>
                <w:tcPr>
                  <w:tcW w:w="1531"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1309"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234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≤10.0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w:t>
                  </w:r>
                </w:p>
              </w:tc>
              <w:tc>
                <w:tcPr>
                  <w:tcW w:w="107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升价30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2024" w:hRule="atLeast"/>
              </w:trPr>
              <w:tc>
                <w:tcPr>
                  <w:tcW w:w="1531"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硫分(S</w:t>
                  </w:r>
                  <w:r>
                    <w:rPr>
                      <w:rFonts w:hint="eastAsia" w:ascii="Times New Roman" w:hAnsi="Times New Roman" w:eastAsia="仿宋" w:cs="仿宋"/>
                      <w:i w:val="0"/>
                      <w:iCs w:val="0"/>
                      <w:caps w:val="0"/>
                      <w:color w:val="auto"/>
                      <w:spacing w:val="0"/>
                      <w:sz w:val="32"/>
                      <w:szCs w:val="32"/>
                      <w:vertAlign w:val="subscript"/>
                    </w:rPr>
                    <w:t>t,d</w:t>
                  </w:r>
                  <w:r>
                    <w:rPr>
                      <w:rFonts w:hint="eastAsia" w:ascii="Times New Roman" w:hAnsi="Times New Roman" w:eastAsia="仿宋" w:cs="仿宋"/>
                      <w:i w:val="0"/>
                      <w:iCs w:val="0"/>
                      <w:caps w:val="0"/>
                      <w:color w:val="auto"/>
                      <w:spacing w:val="0"/>
                      <w:sz w:val="32"/>
                      <w:szCs w:val="32"/>
                    </w:rPr>
                    <w:t>)</w:t>
                  </w:r>
                </w:p>
              </w:tc>
              <w:tc>
                <w:tcPr>
                  <w:tcW w:w="1309" w:type="dxa"/>
                  <w:vMerge w:val="restart"/>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≤1.60%</w:t>
                  </w:r>
                </w:p>
              </w:tc>
              <w:tc>
                <w:tcPr>
                  <w:tcW w:w="234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(1.30%,1.60%]</w:t>
                  </w:r>
                </w:p>
              </w:tc>
              <w:tc>
                <w:tcPr>
                  <w:tcW w:w="107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default" w:ascii="Times New Roman" w:hAnsi="Times New Roman" w:eastAsia="仿宋" w:cs="仿宋"/>
                      <w:color w:val="auto"/>
                      <w:sz w:val="32"/>
                      <w:szCs w:val="32"/>
                      <w:lang w:val="en-US" w:eastAsia="zh-CN"/>
                    </w:rPr>
                  </w:pPr>
                  <w:r>
                    <w:rPr>
                      <w:rFonts w:hint="eastAsia" w:ascii="Times New Roman" w:hAnsi="Times New Roman" w:eastAsia="仿宋" w:cs="仿宋"/>
                      <w:i w:val="0"/>
                      <w:iCs w:val="0"/>
                      <w:caps w:val="0"/>
                      <w:color w:val="auto"/>
                      <w:spacing w:val="0"/>
                      <w:sz w:val="32"/>
                      <w:szCs w:val="32"/>
                    </w:rPr>
                    <w:t>每升高0.01%，扣价</w:t>
                  </w:r>
                  <w:r>
                    <w:rPr>
                      <w:rFonts w:hint="eastAsia" w:ascii="Times New Roman" w:hAnsi="Times New Roman" w:eastAsia="仿宋" w:cs="仿宋"/>
                      <w:i w:val="0"/>
                      <w:iCs w:val="0"/>
                      <w:caps w:val="0"/>
                      <w:strike w:val="0"/>
                      <w:dstrike/>
                      <w:color w:val="auto"/>
                      <w:spacing w:val="0"/>
                      <w:sz w:val="32"/>
                      <w:szCs w:val="32"/>
                    </w:rPr>
                    <w:t>5</w:t>
                  </w:r>
                  <w:r>
                    <w:rPr>
                      <w:rFonts w:hint="eastAsia" w:ascii="Times New Roman" w:hAnsi="Times New Roman" w:eastAsia="仿宋" w:cs="仿宋"/>
                      <w:i w:val="0"/>
                      <w:iCs w:val="0"/>
                      <w:caps w:val="0"/>
                      <w:color w:val="auto"/>
                      <w:spacing w:val="0"/>
                      <w:sz w:val="32"/>
                      <w:szCs w:val="32"/>
                      <w:shd w:val="clear" w:color="FFFFFF" w:fill="D9D9D9"/>
                      <w:lang w:val="en-US" w:eastAsia="zh-CN"/>
                    </w:rPr>
                    <w:t>2.5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2024" w:hRule="atLeast"/>
              </w:trPr>
              <w:tc>
                <w:tcPr>
                  <w:tcW w:w="1531"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1309"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234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[0.70%,1.30%)</w:t>
                  </w:r>
                </w:p>
              </w:tc>
              <w:tc>
                <w:tcPr>
                  <w:tcW w:w="107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default" w:ascii="Times New Roman" w:hAnsi="Times New Roman" w:eastAsia="仿宋" w:cs="仿宋"/>
                      <w:color w:val="auto"/>
                      <w:sz w:val="32"/>
                      <w:szCs w:val="32"/>
                      <w:lang w:val="en-US" w:eastAsia="zh-CN"/>
                    </w:rPr>
                  </w:pPr>
                  <w:r>
                    <w:rPr>
                      <w:rFonts w:hint="eastAsia" w:ascii="Times New Roman" w:hAnsi="Times New Roman" w:eastAsia="仿宋" w:cs="仿宋"/>
                      <w:i w:val="0"/>
                      <w:iCs w:val="0"/>
                      <w:caps w:val="0"/>
                      <w:color w:val="auto"/>
                      <w:spacing w:val="0"/>
                      <w:sz w:val="32"/>
                      <w:szCs w:val="32"/>
                    </w:rPr>
                    <w:t>每降低0.01%，升价</w:t>
                  </w:r>
                  <w:r>
                    <w:rPr>
                      <w:rFonts w:hint="eastAsia" w:ascii="Times New Roman" w:hAnsi="Times New Roman" w:eastAsia="仿宋" w:cs="仿宋"/>
                      <w:i w:val="0"/>
                      <w:iCs w:val="0"/>
                      <w:caps w:val="0"/>
                      <w:strike w:val="0"/>
                      <w:dstrike/>
                      <w:color w:val="auto"/>
                      <w:spacing w:val="0"/>
                      <w:sz w:val="32"/>
                      <w:szCs w:val="32"/>
                    </w:rPr>
                    <w:t>2.5</w:t>
                  </w:r>
                  <w:r>
                    <w:rPr>
                      <w:rFonts w:hint="eastAsia" w:ascii="Times New Roman" w:hAnsi="Times New Roman" w:eastAsia="仿宋" w:cs="仿宋"/>
                      <w:i w:val="0"/>
                      <w:iCs w:val="0"/>
                      <w:caps w:val="0"/>
                      <w:color w:val="auto"/>
                      <w:spacing w:val="0"/>
                      <w:sz w:val="32"/>
                      <w:szCs w:val="32"/>
                      <w:shd w:val="clear" w:color="FFFFFF" w:fill="D9D9D9"/>
                      <w:lang w:val="en-US" w:eastAsia="zh-CN"/>
                    </w:rPr>
                    <w:t>1.5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623" w:hRule="atLeast"/>
              </w:trPr>
              <w:tc>
                <w:tcPr>
                  <w:tcW w:w="1531"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1309" w:type="dxa"/>
                  <w:vMerge w:val="continue"/>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keepNext w:val="0"/>
                    <w:keepLines w:val="0"/>
                    <w:suppressLineNumbers w:val="0"/>
                    <w:spacing w:before="0" w:beforeAutospacing="0" w:after="0" w:afterAutospacing="0" w:line="580" w:lineRule="exact"/>
                    <w:ind w:left="0" w:right="0" w:firstLine="640" w:firstLineChars="200"/>
                    <w:jc w:val="both"/>
                    <w:rPr>
                      <w:rFonts w:hint="eastAsia" w:ascii="Times New Roman" w:hAnsi="Times New Roman" w:eastAsia="仿宋" w:cs="仿宋"/>
                      <w:i w:val="0"/>
                      <w:iCs w:val="0"/>
                      <w:caps w:val="0"/>
                      <w:color w:val="auto"/>
                      <w:spacing w:val="0"/>
                      <w:sz w:val="32"/>
                      <w:szCs w:val="32"/>
                    </w:rPr>
                  </w:pPr>
                </w:p>
              </w:tc>
              <w:tc>
                <w:tcPr>
                  <w:tcW w:w="234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&lt;0.70%</w:t>
                  </w:r>
                </w:p>
              </w:tc>
              <w:tc>
                <w:tcPr>
                  <w:tcW w:w="107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以0.70%计价</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222" w:hRule="atLeast"/>
              </w:trPr>
              <w:tc>
                <w:tcPr>
                  <w:tcW w:w="1531"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挥发分（V</w:t>
                  </w:r>
                  <w:r>
                    <w:rPr>
                      <w:rFonts w:hint="eastAsia" w:ascii="Times New Roman" w:hAnsi="Times New Roman" w:eastAsia="仿宋" w:cs="仿宋"/>
                      <w:i w:val="0"/>
                      <w:iCs w:val="0"/>
                      <w:caps w:val="0"/>
                      <w:color w:val="auto"/>
                      <w:spacing w:val="0"/>
                      <w:sz w:val="32"/>
                      <w:szCs w:val="32"/>
                      <w:vertAlign w:val="subscript"/>
                    </w:rPr>
                    <w:t>daf</w:t>
                  </w:r>
                  <w:r>
                    <w:rPr>
                      <w:rFonts w:hint="eastAsia" w:ascii="Times New Roman" w:hAnsi="Times New Roman" w:eastAsia="仿宋" w:cs="仿宋"/>
                      <w:i w:val="0"/>
                      <w:iCs w:val="0"/>
                      <w:caps w:val="0"/>
                      <w:color w:val="auto"/>
                      <w:spacing w:val="0"/>
                      <w:sz w:val="32"/>
                      <w:szCs w:val="32"/>
                    </w:rPr>
                    <w:t>）</w:t>
                  </w:r>
                </w:p>
              </w:tc>
              <w:tc>
                <w:tcPr>
                  <w:tcW w:w="1309"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[16.0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%,28.0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w:t>
                  </w:r>
                </w:p>
              </w:tc>
              <w:tc>
                <w:tcPr>
                  <w:tcW w:w="234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dstrike w:val="0"/>
                      <w:color w:val="auto"/>
                      <w:spacing w:val="0"/>
                      <w:sz w:val="32"/>
                      <w:szCs w:val="32"/>
                      <w:lang w:val="en-US" w:eastAsia="zh-CN"/>
                    </w:rPr>
                    <w:t>(</w:t>
                  </w:r>
                  <w:r>
                    <w:rPr>
                      <w:rFonts w:hint="eastAsia" w:ascii="Times New Roman" w:hAnsi="Times New Roman" w:eastAsia="仿宋" w:cs="仿宋"/>
                      <w:i w:val="0"/>
                      <w:iCs w:val="0"/>
                      <w:caps w:val="0"/>
                      <w:color w:val="auto"/>
                      <w:spacing w:val="0"/>
                      <w:sz w:val="32"/>
                      <w:szCs w:val="32"/>
                    </w:rPr>
                    <w:t>26.0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%,28.0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w:t>
                  </w:r>
                </w:p>
              </w:tc>
              <w:tc>
                <w:tcPr>
                  <w:tcW w:w="107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扣价50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2039" w:hRule="atLeast"/>
              </w:trPr>
              <w:tc>
                <w:tcPr>
                  <w:tcW w:w="1531"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试验焦炉生成焦炭反应后强度（CSR）</w:t>
                  </w:r>
                </w:p>
              </w:tc>
              <w:tc>
                <w:tcPr>
                  <w:tcW w:w="1309"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color w:val="auto"/>
                      <w:spacing w:val="0"/>
                      <w:sz w:val="32"/>
                      <w:szCs w:val="32"/>
                    </w:rPr>
                    <w:t>≥60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rPr>
                    <w:t>%</w:t>
                  </w:r>
                </w:p>
              </w:tc>
              <w:tc>
                <w:tcPr>
                  <w:tcW w:w="234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eastAsia" w:ascii="Times New Roman" w:hAnsi="Times New Roman" w:eastAsia="仿宋" w:cs="仿宋"/>
                      <w:color w:val="auto"/>
                      <w:sz w:val="32"/>
                      <w:szCs w:val="32"/>
                    </w:rPr>
                  </w:pPr>
                  <w:r>
                    <w:rPr>
                      <w:rFonts w:hint="eastAsia" w:ascii="Times New Roman" w:hAnsi="Times New Roman" w:eastAsia="仿宋" w:cs="仿宋"/>
                      <w:i w:val="0"/>
                      <w:iCs w:val="0"/>
                      <w:caps w:val="0"/>
                      <w:strike w:val="0"/>
                      <w:dstrike/>
                      <w:color w:val="auto"/>
                      <w:spacing w:val="0"/>
                      <w:sz w:val="32"/>
                      <w:szCs w:val="32"/>
                    </w:rPr>
                    <w:t>≥65%</w:t>
                  </w:r>
                  <w:r>
                    <w:rPr>
                      <w:rFonts w:hint="eastAsia" w:ascii="Times New Roman" w:hAnsi="Times New Roman" w:eastAsia="仿宋" w:cs="仿宋"/>
                      <w:i w:val="0"/>
                      <w:iCs w:val="0"/>
                      <w:caps w:val="0"/>
                      <w:strike w:val="0"/>
                      <w:dstrike/>
                      <w:color w:val="auto"/>
                      <w:spacing w:val="0"/>
                      <w:sz w:val="32"/>
                      <w:szCs w:val="32"/>
                    </w:rPr>
                    <w:br w:type="textWrapping"/>
                  </w:r>
                  <w:r>
                    <w:rPr>
                      <w:rFonts w:hint="eastAsia" w:ascii="Times New Roman" w:hAnsi="Times New Roman" w:eastAsia="仿宋" w:cs="仿宋"/>
                      <w:i w:val="0"/>
                      <w:iCs w:val="0"/>
                      <w:caps w:val="0"/>
                      <w:color w:val="auto"/>
                      <w:spacing w:val="0"/>
                      <w:sz w:val="32"/>
                      <w:szCs w:val="32"/>
                      <w:shd w:val="clear" w:color="FFFFFF" w:fill="D9D9D9"/>
                    </w:rPr>
                    <w:t>[60</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shd w:val="clear" w:color="FFFFFF" w:fill="D9D9D9"/>
                    </w:rPr>
                    <w:t>%,65</w:t>
                  </w:r>
                  <w:r>
                    <w:rPr>
                      <w:rFonts w:hint="eastAsia" w:ascii="Times New Roman" w:hAnsi="Times New Roman" w:eastAsia="仿宋" w:cs="仿宋"/>
                      <w:i w:val="0"/>
                      <w:iCs w:val="0"/>
                      <w:caps w:val="0"/>
                      <w:color w:val="auto"/>
                      <w:spacing w:val="0"/>
                      <w:sz w:val="32"/>
                      <w:szCs w:val="32"/>
                      <w:shd w:val="clear" w:color="FFFFFF" w:fill="D9D9D9"/>
                      <w:lang w:val="en-US" w:eastAsia="zh-CN"/>
                    </w:rPr>
                    <w:t>.0</w:t>
                  </w:r>
                  <w:r>
                    <w:rPr>
                      <w:rFonts w:hint="eastAsia" w:ascii="Times New Roman" w:hAnsi="Times New Roman" w:eastAsia="仿宋" w:cs="仿宋"/>
                      <w:i w:val="0"/>
                      <w:iCs w:val="0"/>
                      <w:caps w:val="0"/>
                      <w:color w:val="auto"/>
                      <w:spacing w:val="0"/>
                      <w:sz w:val="32"/>
                      <w:szCs w:val="32"/>
                      <w:shd w:val="clear" w:color="FFFFFF" w:fill="D9D9D9"/>
                    </w:rPr>
                    <w:t>%)</w:t>
                  </w:r>
                </w:p>
              </w:tc>
              <w:tc>
                <w:tcPr>
                  <w:tcW w:w="1074" w:type="dxa"/>
                  <w:tcBorders>
                    <w:top w:val="outset" w:color="000000" w:sz="6" w:space="0"/>
                    <w:left w:val="outset" w:color="000000" w:sz="6" w:space="0"/>
                    <w:bottom w:val="outset" w:color="000000" w:sz="6" w:space="0"/>
                    <w:right w:val="outset" w:color="000000" w:sz="6" w:space="0"/>
                  </w:tcBorders>
                  <w:shd w:val="clear" w:color="auto" w:fill="FFFFFF"/>
                  <w:noWrap w:val="0"/>
                  <w:tcMar>
                    <w:top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leftChars="0" w:right="0" w:firstLine="0" w:firstLineChars="0"/>
                    <w:jc w:val="both"/>
                    <w:rPr>
                      <w:rFonts w:hint="default" w:ascii="Times New Roman" w:hAnsi="Times New Roman" w:eastAsia="仿宋" w:cs="仿宋"/>
                      <w:color w:val="auto"/>
                      <w:sz w:val="32"/>
                      <w:szCs w:val="32"/>
                      <w:lang w:val="en-US" w:eastAsia="zh-CN"/>
                    </w:rPr>
                  </w:pPr>
                  <w:r>
                    <w:rPr>
                      <w:rFonts w:hint="eastAsia" w:ascii="Times New Roman" w:hAnsi="Times New Roman" w:eastAsia="仿宋" w:cs="仿宋"/>
                      <w:i w:val="0"/>
                      <w:iCs w:val="0"/>
                      <w:caps w:val="0"/>
                      <w:strike w:val="0"/>
                      <w:dstrike/>
                      <w:color w:val="auto"/>
                      <w:spacing w:val="0"/>
                      <w:sz w:val="32"/>
                      <w:szCs w:val="32"/>
                    </w:rPr>
                    <w:t>升</w:t>
                  </w:r>
                  <w:r>
                    <w:rPr>
                      <w:rFonts w:hint="eastAsia" w:ascii="Times New Roman" w:hAnsi="Times New Roman" w:eastAsia="仿宋" w:cs="仿宋"/>
                      <w:i w:val="0"/>
                      <w:iCs w:val="0"/>
                      <w:caps w:val="0"/>
                      <w:color w:val="auto"/>
                      <w:spacing w:val="0"/>
                      <w:sz w:val="32"/>
                      <w:szCs w:val="32"/>
                      <w:shd w:val="clear" w:color="FFFFFF" w:fill="D9D9D9"/>
                      <w:lang w:val="en-US" w:eastAsia="zh-CN"/>
                    </w:rPr>
                    <w:t>扣</w:t>
                  </w:r>
                  <w:r>
                    <w:rPr>
                      <w:rFonts w:hint="eastAsia" w:ascii="Times New Roman" w:hAnsi="Times New Roman" w:eastAsia="仿宋" w:cs="仿宋"/>
                      <w:i w:val="0"/>
                      <w:iCs w:val="0"/>
                      <w:caps w:val="0"/>
                      <w:color w:val="auto"/>
                      <w:spacing w:val="0"/>
                      <w:sz w:val="32"/>
                      <w:szCs w:val="32"/>
                    </w:rPr>
                    <w:t>价</w:t>
                  </w:r>
                  <w:r>
                    <w:rPr>
                      <w:rFonts w:hint="eastAsia" w:ascii="Times New Roman" w:hAnsi="Times New Roman" w:eastAsia="仿宋" w:cs="仿宋"/>
                      <w:i w:val="0"/>
                      <w:iCs w:val="0"/>
                      <w:caps w:val="0"/>
                      <w:strike w:val="0"/>
                      <w:dstrike/>
                      <w:color w:val="auto"/>
                      <w:spacing w:val="0"/>
                      <w:sz w:val="32"/>
                      <w:szCs w:val="32"/>
                    </w:rPr>
                    <w:t>80</w:t>
                  </w:r>
                  <w:r>
                    <w:rPr>
                      <w:rFonts w:hint="eastAsia" w:ascii="Times New Roman" w:hAnsi="Times New Roman" w:eastAsia="仿宋" w:cs="仿宋"/>
                      <w:i w:val="0"/>
                      <w:iCs w:val="0"/>
                      <w:caps w:val="0"/>
                      <w:color w:val="auto"/>
                      <w:spacing w:val="0"/>
                      <w:sz w:val="32"/>
                      <w:szCs w:val="32"/>
                      <w:shd w:val="clear" w:color="FFFFFF" w:fill="D9D9D9"/>
                      <w:lang w:val="en-US" w:eastAsia="zh-CN"/>
                    </w:rPr>
                    <w:t>50</w:t>
                  </w:r>
                </w:p>
              </w:tc>
            </w:tr>
          </w:tbl>
          <w:p>
            <w:pPr>
              <w:keepNext w:val="0"/>
              <w:keepLines w:val="0"/>
              <w:suppressLineNumbers w:val="0"/>
              <w:spacing w:before="0" w:beforeAutospacing="0" w:after="0" w:afterAutospacing="0" w:line="580" w:lineRule="exact"/>
              <w:ind w:left="0" w:leftChars="0" w:right="0" w:firstLine="0" w:firstLineChars="0"/>
              <w:jc w:val="left"/>
              <w:rPr>
                <w:rFonts w:hint="eastAsia" w:ascii="Times New Roman" w:hAnsi="Times New Roman" w:eastAsia="仿宋_GB2312" w:cs="仿宋_GB2312"/>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suppressLineNumbers w:val="0"/>
              <w:spacing w:before="0" w:beforeAutospacing="0" w:after="0" w:afterAutospacing="0" w:line="580" w:lineRule="exact"/>
              <w:ind w:left="0" w:leftChars="0" w:right="0" w:firstLine="640" w:firstLineChars="200"/>
              <w:jc w:val="left"/>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vertAlign w:val="baseline"/>
                <w:lang w:eastAsia="zh-CN"/>
              </w:rPr>
              <w:t>4.5 水分（Mt）≤8.0%，水分（Mt）&gt;8.0%的，每100手折算后重量=6000（吨）×（1-8.0%）/[1-水分实测结果（%）]。</w:t>
            </w:r>
          </w:p>
        </w:tc>
        <w:tc>
          <w:tcPr>
            <w:tcW w:w="6513" w:type="dxa"/>
            <w:noWrap w:val="0"/>
            <w:vAlign w:val="top"/>
          </w:tcPr>
          <w:p>
            <w:pPr>
              <w:keepNext w:val="0"/>
              <w:keepLines w:val="0"/>
              <w:suppressLineNumbers w:val="0"/>
              <w:spacing w:before="0" w:beforeAutospacing="0" w:after="0" w:afterAutospacing="0" w:line="580" w:lineRule="exact"/>
              <w:ind w:left="0" w:leftChars="0" w:right="0" w:firstLine="640" w:firstLineChars="200"/>
              <w:jc w:val="lef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sz w:val="32"/>
                <w:szCs w:val="32"/>
                <w:vertAlign w:val="baseline"/>
                <w:lang w:eastAsia="zh-CN"/>
              </w:rPr>
              <w:t xml:space="preserve">4.5 </w:t>
            </w:r>
            <w:r>
              <w:rPr>
                <w:rFonts w:hint="eastAsia" w:ascii="Times New Roman" w:hAnsi="Times New Roman" w:eastAsia="仿宋_GB2312" w:cs="仿宋_GB2312"/>
                <w:sz w:val="32"/>
                <w:szCs w:val="32"/>
                <w:shd w:val="clear" w:color="FFFFFF" w:fill="D9D9D9"/>
                <w:vertAlign w:val="baseline"/>
                <w:lang w:val="en-US" w:eastAsia="zh-CN"/>
              </w:rPr>
              <w:t>全</w:t>
            </w:r>
            <w:r>
              <w:rPr>
                <w:rFonts w:hint="eastAsia" w:ascii="Times New Roman" w:hAnsi="Times New Roman" w:eastAsia="仿宋_GB2312" w:cs="仿宋_GB2312"/>
                <w:sz w:val="32"/>
                <w:szCs w:val="32"/>
                <w:vertAlign w:val="baseline"/>
                <w:lang w:eastAsia="zh-CN"/>
              </w:rPr>
              <w:t>水分（Mt）≤8.0%，</w:t>
            </w:r>
            <w:r>
              <w:rPr>
                <w:rFonts w:hint="eastAsia" w:ascii="Times New Roman" w:hAnsi="Times New Roman" w:eastAsia="仿宋_GB2312" w:cs="仿宋_GB2312"/>
                <w:sz w:val="32"/>
                <w:szCs w:val="32"/>
                <w:shd w:val="clear" w:color="FFFFFF" w:fill="D9D9D9"/>
                <w:vertAlign w:val="baseline"/>
                <w:lang w:val="en-US" w:eastAsia="zh-CN"/>
              </w:rPr>
              <w:t>全</w:t>
            </w:r>
            <w:r>
              <w:rPr>
                <w:rFonts w:hint="eastAsia" w:ascii="Times New Roman" w:hAnsi="Times New Roman" w:eastAsia="仿宋_GB2312" w:cs="仿宋_GB2312"/>
                <w:sz w:val="32"/>
                <w:szCs w:val="32"/>
                <w:vertAlign w:val="baseline"/>
                <w:lang w:eastAsia="zh-CN"/>
              </w:rPr>
              <w:t>水分（Mt）&gt;8.0%的，每</w:t>
            </w:r>
            <w:r>
              <w:rPr>
                <w:rFonts w:hint="eastAsia" w:ascii="Times New Roman" w:hAnsi="Times New Roman" w:eastAsia="仿宋" w:cs="仿宋"/>
                <w:dstrike/>
                <w:color w:val="auto"/>
                <w:kern w:val="0"/>
                <w:sz w:val="32"/>
                <w:szCs w:val="32"/>
                <w:vertAlign w:val="baseline"/>
                <w:lang w:eastAsia="zh-CN"/>
              </w:rPr>
              <w:t>1</w:t>
            </w:r>
            <w:r>
              <w:rPr>
                <w:rFonts w:hint="eastAsia" w:ascii="Times New Roman" w:hAnsi="Times New Roman" w:eastAsia="仿宋" w:cs="仿宋"/>
                <w:i w:val="0"/>
                <w:iCs w:val="0"/>
                <w:caps w:val="0"/>
                <w:strike w:val="0"/>
                <w:dstrike/>
                <w:color w:val="auto"/>
                <w:spacing w:val="0"/>
                <w:kern w:val="0"/>
                <w:sz w:val="32"/>
                <w:szCs w:val="32"/>
                <w:lang w:val="en-US" w:eastAsia="zh-CN" w:bidi="ar-SA"/>
              </w:rPr>
              <w:t>00</w:t>
            </w:r>
            <w:r>
              <w:rPr>
                <w:rFonts w:hint="eastAsia" w:ascii="Times New Roman" w:hAnsi="Times New Roman" w:eastAsia="仿宋_GB2312" w:cs="仿宋_GB2312"/>
                <w:sz w:val="32"/>
                <w:szCs w:val="32"/>
                <w:vertAlign w:val="baseline"/>
                <w:lang w:eastAsia="zh-CN"/>
              </w:rPr>
              <w:t>手折算后重量=60</w:t>
            </w:r>
            <w:r>
              <w:rPr>
                <w:rFonts w:hint="eastAsia" w:ascii="Times New Roman" w:hAnsi="Times New Roman" w:eastAsia="仿宋" w:cs="仿宋"/>
                <w:i w:val="0"/>
                <w:iCs w:val="0"/>
                <w:caps w:val="0"/>
                <w:strike w:val="0"/>
                <w:dstrike/>
                <w:color w:val="auto"/>
                <w:spacing w:val="0"/>
                <w:kern w:val="0"/>
                <w:sz w:val="32"/>
                <w:szCs w:val="32"/>
                <w:lang w:val="en-US" w:eastAsia="zh-CN" w:bidi="ar-SA"/>
              </w:rPr>
              <w:t>00</w:t>
            </w:r>
            <w:r>
              <w:rPr>
                <w:rFonts w:hint="eastAsia" w:ascii="Times New Roman" w:hAnsi="Times New Roman" w:eastAsia="仿宋_GB2312" w:cs="仿宋_GB2312"/>
                <w:sz w:val="32"/>
                <w:szCs w:val="32"/>
                <w:vertAlign w:val="baseline"/>
                <w:lang w:eastAsia="zh-CN"/>
              </w:rPr>
              <w:t>（吨）×（1-8.0%）/[1-</w:t>
            </w:r>
            <w:r>
              <w:rPr>
                <w:rFonts w:hint="eastAsia" w:ascii="Times New Roman" w:hAnsi="Times New Roman" w:eastAsia="仿宋_GB2312" w:cs="仿宋_GB2312"/>
                <w:sz w:val="32"/>
                <w:szCs w:val="32"/>
                <w:shd w:val="clear" w:color="FFFFFF" w:fill="D9D9D9"/>
                <w:vertAlign w:val="baseline"/>
                <w:lang w:val="en-US" w:eastAsia="zh-CN"/>
              </w:rPr>
              <w:t>全</w:t>
            </w:r>
            <w:r>
              <w:rPr>
                <w:rFonts w:hint="eastAsia" w:ascii="Times New Roman" w:hAnsi="Times New Roman" w:eastAsia="仿宋_GB2312" w:cs="仿宋_GB2312"/>
                <w:sz w:val="32"/>
                <w:szCs w:val="32"/>
                <w:vertAlign w:val="baseline"/>
                <w:lang w:eastAsia="zh-CN"/>
              </w:rPr>
              <w:t>水分实测结果（%）]。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0" w:type="dxa"/>
            <w:noWrap w:val="0"/>
            <w:vAlign w:val="top"/>
          </w:tcPr>
          <w:p>
            <w:pPr>
              <w:keepNext w:val="0"/>
              <w:keepLines w:val="0"/>
              <w:widowControl w:val="0"/>
              <w:suppressLineNumbers w:val="0"/>
              <w:spacing w:before="0" w:beforeAutospacing="0" w:after="0" w:afterAutospacing="0" w:line="580" w:lineRule="exact"/>
              <w:ind w:left="0" w:leftChars="0" w:right="0" w:firstLine="0" w:firstLineChars="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 试验方法和检验规则</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5.1 试样的采取和制备按照GB/T 475的规定执行；</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5.2 水分、灰分、挥发分的测定按照GB/T 212的规定执行；</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5.3 硫分的测定按照GB/T 214的规定执行；</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5.4 黏结指数的测定按照GB/T 5447的规定执行；</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5.5 胶质层最大厚度的测定按照GB/T 479的规定执行；</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5.6 镜质体随机反射率和最大反射率的测定按照GB/T 6948的规定执行；</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5.7 镜质体随机反射率标准差的判别按照GB/T 15591的规定执行；</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5.8 试验焦炉生成焦炭反应后强度的测定按照MT/T 1181和GB/T 4000的规定执行。</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kern w:val="2"/>
                <w:sz w:val="32"/>
                <w:szCs w:val="32"/>
                <w:lang w:val="en-US" w:eastAsia="zh-CN" w:bidi="ar"/>
              </w:rPr>
              <w:t>5.9 数值修约规则与极限数值的表示和判定按照GB/T 8170的规定执行。</w:t>
            </w:r>
          </w:p>
        </w:tc>
        <w:tc>
          <w:tcPr>
            <w:tcW w:w="6513" w:type="dxa"/>
            <w:noWrap w:val="0"/>
            <w:vAlign w:val="top"/>
          </w:tcPr>
          <w:p>
            <w:pPr>
              <w:keepNext w:val="0"/>
              <w:keepLines w:val="0"/>
              <w:widowControl w:val="0"/>
              <w:suppressLineNumbers w:val="0"/>
              <w:spacing w:before="0" w:beforeAutospacing="0" w:after="0" w:afterAutospacing="0" w:line="580" w:lineRule="exact"/>
              <w:ind w:left="0" w:leftChars="0" w:right="0" w:firstLine="0" w:firstLineChars="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 试验方法和检验规则</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5.1 试样的采取和制备按照GB/T 475的规定执行</w:t>
            </w:r>
            <w:r>
              <w:rPr>
                <w:rFonts w:hint="eastAsia" w:ascii="Times New Roman" w:hAnsi="Times New Roman" w:eastAsia="仿宋_GB2312" w:cs="仿宋_GB2312"/>
                <w:strike w:val="0"/>
                <w:dstrike/>
                <w:kern w:val="2"/>
                <w:sz w:val="32"/>
                <w:szCs w:val="32"/>
                <w:lang w:val="en-US" w:eastAsia="zh-CN" w:bidi="ar"/>
              </w:rPr>
              <w:t>；</w:t>
            </w:r>
            <w:r>
              <w:rPr>
                <w:rFonts w:hint="eastAsia" w:ascii="Times New Roman" w:hAnsi="Times New Roman" w:eastAsia="仿宋_GB2312" w:cs="仿宋_GB2312"/>
                <w:kern w:val="2"/>
                <w:sz w:val="32"/>
                <w:szCs w:val="32"/>
                <w:shd w:val="clear" w:color="auto" w:fill="D9D9D9"/>
                <w:lang w:val="en-US" w:eastAsia="zh-CN" w:bidi="ar"/>
              </w:rPr>
              <w:t>。</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 xml:space="preserve">5.2 </w:t>
            </w:r>
            <w:r>
              <w:rPr>
                <w:rFonts w:hint="eastAsia" w:ascii="Times New Roman" w:hAnsi="Times New Roman" w:eastAsia="仿宋" w:cs="仿宋"/>
                <w:i w:val="0"/>
                <w:iCs w:val="0"/>
                <w:caps w:val="0"/>
                <w:strike w:val="0"/>
                <w:dstrike/>
                <w:spacing w:val="0"/>
                <w:kern w:val="0"/>
                <w:sz w:val="32"/>
                <w:szCs w:val="32"/>
                <w:lang w:val="en-US" w:eastAsia="zh-CN" w:bidi="ar"/>
              </w:rPr>
              <w:t>水分、</w:t>
            </w:r>
            <w:r>
              <w:rPr>
                <w:rFonts w:hint="eastAsia" w:ascii="Times New Roman" w:hAnsi="Times New Roman" w:eastAsia="仿宋_GB2312" w:cs="仿宋_GB2312"/>
                <w:kern w:val="2"/>
                <w:sz w:val="32"/>
                <w:szCs w:val="32"/>
                <w:lang w:val="en-US" w:eastAsia="zh-CN" w:bidi="ar"/>
              </w:rPr>
              <w:t>灰分、挥发分的测定按照GB/T 212的规定执行</w:t>
            </w:r>
            <w:r>
              <w:rPr>
                <w:rFonts w:hint="eastAsia" w:ascii="Times New Roman" w:hAnsi="Times New Roman" w:eastAsia="仿宋_GB2312" w:cs="仿宋_GB2312"/>
                <w:strike w:val="0"/>
                <w:dstrike/>
                <w:kern w:val="2"/>
                <w:sz w:val="32"/>
                <w:szCs w:val="32"/>
                <w:lang w:val="en-US" w:eastAsia="zh-CN" w:bidi="ar"/>
              </w:rPr>
              <w:t>；</w:t>
            </w:r>
            <w:r>
              <w:rPr>
                <w:rFonts w:hint="eastAsia" w:ascii="Times New Roman" w:hAnsi="Times New Roman" w:eastAsia="仿宋_GB2312" w:cs="仿宋_GB2312"/>
                <w:kern w:val="2"/>
                <w:sz w:val="32"/>
                <w:szCs w:val="32"/>
                <w:shd w:val="clear" w:color="auto" w:fill="D9D9D9"/>
                <w:lang w:val="en-US" w:eastAsia="zh-CN" w:bidi="ar"/>
              </w:rPr>
              <w:t>。</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5.3 硫分的测定按照GB/T 214的规定执行</w:t>
            </w:r>
            <w:r>
              <w:rPr>
                <w:rFonts w:hint="eastAsia" w:ascii="Times New Roman" w:hAnsi="Times New Roman" w:eastAsia="仿宋_GB2312" w:cs="仿宋_GB2312"/>
                <w:strike w:val="0"/>
                <w:dstrike/>
                <w:kern w:val="2"/>
                <w:sz w:val="32"/>
                <w:szCs w:val="32"/>
                <w:lang w:val="en-US" w:eastAsia="zh-CN" w:bidi="ar"/>
              </w:rPr>
              <w:t>；</w:t>
            </w:r>
            <w:r>
              <w:rPr>
                <w:rFonts w:hint="eastAsia" w:ascii="Times New Roman" w:hAnsi="Times New Roman" w:eastAsia="仿宋_GB2312" w:cs="仿宋_GB2312"/>
                <w:kern w:val="2"/>
                <w:sz w:val="32"/>
                <w:szCs w:val="32"/>
                <w:shd w:val="clear" w:color="auto" w:fill="D9D9D9"/>
                <w:lang w:val="en-US" w:eastAsia="zh-CN" w:bidi="ar"/>
              </w:rPr>
              <w:t>。</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5.4 黏结指数的测定按照GB/T 5447的规定执行</w:t>
            </w:r>
            <w:r>
              <w:rPr>
                <w:rFonts w:hint="eastAsia" w:ascii="Times New Roman" w:hAnsi="Times New Roman" w:eastAsia="仿宋_GB2312" w:cs="仿宋_GB2312"/>
                <w:strike w:val="0"/>
                <w:dstrike/>
                <w:kern w:val="2"/>
                <w:sz w:val="32"/>
                <w:szCs w:val="32"/>
                <w:lang w:val="en-US" w:eastAsia="zh-CN" w:bidi="ar"/>
              </w:rPr>
              <w:t>；</w:t>
            </w:r>
            <w:r>
              <w:rPr>
                <w:rFonts w:hint="eastAsia" w:ascii="Times New Roman" w:hAnsi="Times New Roman" w:eastAsia="仿宋_GB2312" w:cs="仿宋_GB2312"/>
                <w:kern w:val="2"/>
                <w:sz w:val="32"/>
                <w:szCs w:val="32"/>
                <w:shd w:val="clear" w:color="auto" w:fill="D9D9D9"/>
                <w:lang w:val="en-US" w:eastAsia="zh-CN" w:bidi="ar"/>
              </w:rPr>
              <w:t>。</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5.5 胶质层最大厚度的测定按照GB/T 479的规定执行</w:t>
            </w:r>
            <w:r>
              <w:rPr>
                <w:rFonts w:hint="eastAsia" w:ascii="Times New Roman" w:hAnsi="Times New Roman" w:eastAsia="仿宋_GB2312" w:cs="仿宋_GB2312"/>
                <w:strike w:val="0"/>
                <w:dstrike/>
                <w:kern w:val="2"/>
                <w:sz w:val="32"/>
                <w:szCs w:val="32"/>
                <w:lang w:val="en-US" w:eastAsia="zh-CN" w:bidi="ar"/>
              </w:rPr>
              <w:t>；</w:t>
            </w:r>
            <w:r>
              <w:rPr>
                <w:rFonts w:hint="eastAsia" w:ascii="Times New Roman" w:hAnsi="Times New Roman" w:eastAsia="仿宋_GB2312" w:cs="仿宋_GB2312"/>
                <w:kern w:val="2"/>
                <w:sz w:val="32"/>
                <w:szCs w:val="32"/>
                <w:shd w:val="clear" w:color="auto" w:fill="D9D9D9"/>
                <w:lang w:val="en-US" w:eastAsia="zh-CN" w:bidi="ar"/>
              </w:rPr>
              <w:t>。</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5.6 镜质体随机反射率和最大反射率的测定按照GB/T 6948的规定执行</w:t>
            </w:r>
            <w:r>
              <w:rPr>
                <w:rFonts w:hint="eastAsia" w:ascii="Times New Roman" w:hAnsi="Times New Roman" w:eastAsia="仿宋_GB2312" w:cs="仿宋_GB2312"/>
                <w:strike w:val="0"/>
                <w:dstrike/>
                <w:kern w:val="2"/>
                <w:sz w:val="32"/>
                <w:szCs w:val="32"/>
                <w:lang w:val="en-US" w:eastAsia="zh-CN" w:bidi="ar"/>
              </w:rPr>
              <w:t>；</w:t>
            </w:r>
            <w:r>
              <w:rPr>
                <w:rFonts w:hint="eastAsia" w:ascii="Times New Roman" w:hAnsi="Times New Roman" w:eastAsia="仿宋_GB2312" w:cs="仿宋_GB2312"/>
                <w:kern w:val="2"/>
                <w:sz w:val="32"/>
                <w:szCs w:val="32"/>
                <w:shd w:val="clear" w:color="auto" w:fill="D9D9D9"/>
                <w:lang w:val="en-US" w:eastAsia="zh-CN" w:bidi="ar"/>
              </w:rPr>
              <w:t>。</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5.7 镜质体随机反射率标准差的判别按照GB/T 15591的规定执行</w:t>
            </w:r>
            <w:r>
              <w:rPr>
                <w:rFonts w:hint="eastAsia" w:ascii="Times New Roman" w:hAnsi="Times New Roman" w:eastAsia="仿宋_GB2312" w:cs="仿宋_GB2312"/>
                <w:strike w:val="0"/>
                <w:dstrike/>
                <w:kern w:val="2"/>
                <w:sz w:val="32"/>
                <w:szCs w:val="32"/>
                <w:lang w:val="en-US" w:eastAsia="zh-CN" w:bidi="ar"/>
              </w:rPr>
              <w:t>；</w:t>
            </w:r>
            <w:r>
              <w:rPr>
                <w:rFonts w:hint="eastAsia" w:ascii="Times New Roman" w:hAnsi="Times New Roman" w:eastAsia="仿宋_GB2312" w:cs="仿宋_GB2312"/>
                <w:kern w:val="2"/>
                <w:sz w:val="32"/>
                <w:szCs w:val="32"/>
                <w:shd w:val="clear" w:color="auto" w:fill="D9D9D9"/>
                <w:lang w:val="en-US" w:eastAsia="zh-CN" w:bidi="ar"/>
              </w:rPr>
              <w:t>。</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5.8 试验焦炉生成焦炭反应后强度的测定按照MT/T 1181和GB/T 4000的规定执行</w:t>
            </w:r>
            <w:r>
              <w:rPr>
                <w:rFonts w:hint="eastAsia" w:ascii="Times New Roman" w:hAnsi="Times New Roman" w:eastAsia="仿宋" w:cs="仿宋"/>
                <w:i w:val="0"/>
                <w:iCs w:val="0"/>
                <w:caps w:val="0"/>
                <w:spacing w:val="0"/>
                <w:kern w:val="0"/>
                <w:sz w:val="32"/>
                <w:szCs w:val="32"/>
                <w:lang w:val="en-US" w:eastAsia="zh-CN" w:bidi="ar"/>
              </w:rPr>
              <w:t>。</w:t>
            </w:r>
          </w:p>
          <w:p>
            <w:pPr>
              <w:keepNext w:val="0"/>
              <w:keepLines w:val="0"/>
              <w:widowControl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5.9 数值修约规则与极限数值的表示和判定按照GB/T 8170的规定执行</w:t>
            </w:r>
            <w:r>
              <w:rPr>
                <w:rFonts w:hint="eastAsia" w:ascii="Times New Roman" w:hAnsi="Times New Roman" w:eastAsia="仿宋" w:cs="仿宋"/>
                <w:i w:val="0"/>
                <w:iCs w:val="0"/>
                <w:caps w:val="0"/>
                <w:spacing w:val="0"/>
                <w:kern w:val="0"/>
                <w:sz w:val="32"/>
                <w:szCs w:val="32"/>
                <w:lang w:val="en-US" w:eastAsia="zh-CN" w:bidi="ar"/>
              </w:rPr>
              <w:t>。</w:t>
            </w:r>
          </w:p>
          <w:p>
            <w:pPr>
              <w:keepNext w:val="0"/>
              <w:keepLines w:val="0"/>
              <w:suppressLineNumbers w:val="0"/>
              <w:spacing w:before="0" w:beforeAutospacing="0" w:after="0" w:afterAutospacing="0" w:line="580" w:lineRule="exact"/>
              <w:ind w:left="0" w:leftChars="0" w:right="0" w:firstLine="640" w:firstLineChars="200"/>
              <w:jc w:val="both"/>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kern w:val="2"/>
                <w:sz w:val="32"/>
                <w:szCs w:val="32"/>
                <w:shd w:val="clear" w:color="auto" w:fill="D9D9D9"/>
                <w:lang w:val="en-US" w:eastAsia="zh-CN" w:bidi="ar"/>
              </w:rPr>
              <w:t>5.10 全水分的测定按照GB/T 211的规定执行。</w:t>
            </w:r>
          </w:p>
        </w:tc>
      </w:tr>
    </w:tbl>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kinsoku/>
        <w:overflowPunct/>
        <w:topLinePunct w:val="0"/>
        <w:autoSpaceDE/>
        <w:autoSpaceDN/>
        <w:bidi w:val="0"/>
        <w:adjustRightInd/>
        <w:spacing w:line="580" w:lineRule="exact"/>
        <w:textAlignment w:val="auto"/>
        <w:rPr>
          <w:rFonts w:hint="default" w:ascii="Times New Roman" w:hAnsi="Times New Roman" w:eastAsia="仿宋_GB2312" w:cs="Times New Roman"/>
          <w:bCs/>
          <w:sz w:val="32"/>
          <w:szCs w:val="32"/>
          <w:shd w:val="clear" w:color="auto" w:fill="auto"/>
          <w:lang w:val="en-US" w:eastAsia="zh-CN"/>
        </w:rPr>
      </w:pPr>
    </w:p>
    <w:p>
      <w:pPr>
        <w:keepNext w:val="0"/>
        <w:keepLines w:val="0"/>
        <w:pageBreakBefore w:val="0"/>
        <w:kinsoku/>
        <w:overflowPunct/>
        <w:topLinePunct w:val="0"/>
        <w:autoSpaceDE/>
        <w:autoSpaceDN/>
        <w:bidi w:val="0"/>
        <w:adjustRightInd/>
        <w:spacing w:line="580" w:lineRule="exact"/>
        <w:textAlignment w:val="auto"/>
        <w:rPr>
          <w:rFonts w:hint="default" w:ascii="Times New Roman" w:hAnsi="Times New Roman" w:eastAsia="仿宋_GB2312" w:cs="Times New Roman"/>
          <w:bCs/>
          <w:sz w:val="32"/>
          <w:szCs w:val="32"/>
          <w:shd w:val="clear" w:color="auto" w:fill="auto"/>
          <w:lang w:val="en-US" w:eastAsia="zh-CN"/>
        </w:rPr>
      </w:pPr>
    </w:p>
    <w:sectPr>
      <w:headerReference r:id="rId3" w:type="default"/>
      <w:footerReference r:id="rId4" w:type="default"/>
      <w:pgSz w:w="16838" w:h="11906" w:orient="landscape"/>
      <w:pgMar w:top="1361" w:right="1984" w:bottom="1361" w:left="198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2FC752"/>
    <w:rsid w:val="15FF91FE"/>
    <w:rsid w:val="36AE310C"/>
    <w:rsid w:val="39FFED4E"/>
    <w:rsid w:val="3EFFD844"/>
    <w:rsid w:val="3FFFC842"/>
    <w:rsid w:val="557F466E"/>
    <w:rsid w:val="587F1664"/>
    <w:rsid w:val="592FE8CB"/>
    <w:rsid w:val="5DFFBC72"/>
    <w:rsid w:val="5FFFC539"/>
    <w:rsid w:val="6B9F3D1F"/>
    <w:rsid w:val="765F69A3"/>
    <w:rsid w:val="77FF46C2"/>
    <w:rsid w:val="79FF52C8"/>
    <w:rsid w:val="7BB94E0A"/>
    <w:rsid w:val="7BEE4588"/>
    <w:rsid w:val="7D4C2F30"/>
    <w:rsid w:val="7DFC9143"/>
    <w:rsid w:val="7FDC9013"/>
    <w:rsid w:val="7FDF3A6A"/>
    <w:rsid w:val="7FF975C3"/>
    <w:rsid w:val="9F75C1CD"/>
    <w:rsid w:val="BC750A60"/>
    <w:rsid w:val="BE4BA53C"/>
    <w:rsid w:val="D962A8AC"/>
    <w:rsid w:val="E9DE2903"/>
    <w:rsid w:val="EAFF54D2"/>
    <w:rsid w:val="EBDCF16D"/>
    <w:rsid w:val="EDFDA0BC"/>
    <w:rsid w:val="F3CED7B3"/>
    <w:rsid w:val="FB2FC752"/>
    <w:rsid w:val="FDDB0690"/>
    <w:rsid w:val="FE3FF17E"/>
    <w:rsid w:val="FE7DF078"/>
    <w:rsid w:val="FFD5A1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bCs/>
      <w:kern w:val="0"/>
      <w:sz w:val="20"/>
      <w:szCs w:val="20"/>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59"/>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Pages>
  <Words>0</Words>
  <Characters>0</Characters>
  <Lines>0</Lines>
  <Paragraphs>0</Paragraphs>
  <TotalTime>2.33333333333333</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2025-11-20T15:09:00Z</dcterms:created>
  <dc:creator>wangjm</dc:creator>
  <cp:lastModifiedBy>林家杰</cp:lastModifiedBy>
  <dcterms:modified xsi:type="dcterms:W3CDTF">2025-12-22T07:46:41Z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154B7B78159E4EDF9F377348866E5A2C_13</vt:lpwstr>
  </property>
</Properties>
</file>