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2"/>
        <w:keepNext w:val="0"/>
        <w:keepLines w:val="0"/>
        <w:pageBreakBefore w:val="0"/>
        <w:kinsoku/>
        <w:wordWrap/>
        <w:overflowPunct/>
        <w:topLinePunct w:val="0"/>
        <w:autoSpaceDE/>
        <w:autoSpaceDN/>
        <w:bidi w:val="0"/>
        <w:adjustRightInd/>
        <w:spacing w:line="560" w:lineRule="exact"/>
        <w:ind w:left="0" w:leftChars="0" w:firstLine="0" w:firstLineChars="0"/>
        <w:jc w:val="both"/>
        <w:textAlignment w:val="auto"/>
        <w:rPr>
          <w:rFonts w:hint="default" w:ascii="Times New Roman" w:hAnsi="Times New Roman" w:eastAsia="黑体" w:cs="Times New Roman"/>
          <w:szCs w:val="32"/>
          <w:highlight w:val="none"/>
          <w:lang w:val="en-US" w:eastAsia="zh-CN"/>
        </w:rPr>
      </w:pPr>
      <w:r>
        <w:rPr>
          <w:rFonts w:hint="default" w:ascii="Times New Roman" w:hAnsi="Times New Roman" w:eastAsia="黑体" w:cs="Times New Roman"/>
          <w:color w:val="000000"/>
          <w:sz w:val="32"/>
          <w:szCs w:val="32"/>
          <w:lang w:eastAsia="zh-CN"/>
        </w:rPr>
        <w:t>附件</w:t>
      </w:r>
      <w:r>
        <w:rPr>
          <w:rFonts w:hint="default" w:ascii="Times New Roman" w:hAnsi="Times New Roman" w:eastAsia="黑体" w:cs="Times New Roman"/>
          <w:color w:val="000000"/>
          <w:sz w:val="32"/>
          <w:szCs w:val="32"/>
          <w:lang w:val="en-US" w:eastAsia="zh-CN"/>
        </w:rPr>
        <w:t>3</w:t>
      </w:r>
    </w:p>
    <w:p>
      <w:pPr>
        <w:tabs>
          <w:tab w:val="left" w:pos="564"/>
        </w:tabs>
        <w:bidi w:val="0"/>
        <w:ind w:left="0" w:leftChars="0" w:firstLine="0" w:firstLineChars="0"/>
        <w:jc w:val="center"/>
        <w:rPr>
          <w:rFonts w:hint="default" w:ascii="Times New Roman" w:hAnsi="Times New Roman" w:eastAsia="方正小标宋简体" w:cs="Times New Roman"/>
          <w:sz w:val="44"/>
          <w:szCs w:val="44"/>
          <w:highlight w:val="none"/>
        </w:rPr>
      </w:pPr>
      <w:r>
        <w:rPr>
          <w:rFonts w:hint="default" w:ascii="Times New Roman" w:hAnsi="Times New Roman" w:eastAsia="方正小标宋简体" w:cs="Times New Roman"/>
          <w:sz w:val="44"/>
          <w:szCs w:val="44"/>
          <w:highlight w:val="none"/>
        </w:rPr>
        <w:t>广州期货交易所</w:t>
      </w:r>
      <w:r>
        <w:rPr>
          <w:rFonts w:hint="default" w:ascii="Times New Roman" w:hAnsi="Times New Roman" w:eastAsia="方正小标宋简体" w:cs="Times New Roman"/>
          <w:sz w:val="44"/>
          <w:szCs w:val="44"/>
          <w:highlight w:val="none"/>
          <w:lang w:val="en-US" w:eastAsia="zh-CN"/>
        </w:rPr>
        <w:t>铂</w:t>
      </w:r>
      <w:r>
        <w:rPr>
          <w:rFonts w:hint="default" w:ascii="Times New Roman" w:hAnsi="Times New Roman" w:eastAsia="方正小标宋简体" w:cs="Times New Roman"/>
          <w:sz w:val="44"/>
          <w:szCs w:val="44"/>
          <w:highlight w:val="none"/>
        </w:rPr>
        <w:t>期货、期权业务细则</w:t>
      </w: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jc w:val="center"/>
        <w:textAlignment w:val="auto"/>
        <w:rPr>
          <w:rFonts w:hint="default" w:ascii="Times New Roman" w:hAnsi="Times New Roman" w:cs="Times New Roman"/>
          <w:highlight w:val="none"/>
        </w:rPr>
      </w:pPr>
      <w:r>
        <w:rPr>
          <w:rFonts w:hint="default" w:ascii="Times New Roman" w:hAnsi="Times New Roman" w:eastAsia="仿宋_GB2312" w:cs="Times New Roman"/>
          <w:highlight w:val="none"/>
        </w:rPr>
        <w:t>(</w:t>
      </w:r>
      <w:r>
        <w:rPr>
          <w:rFonts w:hint="default" w:ascii="Times New Roman" w:hAnsi="Times New Roman" w:cs="Times New Roman"/>
          <w:highlight w:val="none"/>
        </w:rPr>
        <w:t>2025年</w:t>
      </w:r>
      <w:r>
        <w:rPr>
          <w:rFonts w:hint="default" w:ascii="Times New Roman" w:hAnsi="Times New Roman" w:cs="Times New Roman"/>
          <w:highlight w:val="none"/>
          <w:lang w:val="en-US" w:eastAsia="zh-CN"/>
        </w:rPr>
        <w:t>11</w:t>
      </w:r>
      <w:r>
        <w:rPr>
          <w:rFonts w:hint="default" w:ascii="Times New Roman" w:hAnsi="Times New Roman" w:cs="Times New Roman"/>
          <w:highlight w:val="none"/>
        </w:rPr>
        <w:t>月</w:t>
      </w:r>
      <w:r>
        <w:rPr>
          <w:rFonts w:hint="default" w:ascii="Times New Roman" w:hAnsi="Times New Roman" w:cs="Times New Roman"/>
          <w:highlight w:val="none"/>
          <w:lang w:val="en-US" w:eastAsia="zh-CN"/>
        </w:rPr>
        <w:t>7</w:t>
      </w:r>
      <w:r>
        <w:rPr>
          <w:rFonts w:hint="default" w:ascii="Times New Roman" w:hAnsi="Times New Roman" w:cs="Times New Roman"/>
          <w:highlight w:val="none"/>
        </w:rPr>
        <w:t>日广期所发〔2025〕</w:t>
      </w:r>
      <w:r>
        <w:rPr>
          <w:rFonts w:hint="eastAsia" w:ascii="Times New Roman" w:hAnsi="Times New Roman" w:cs="Times New Roman"/>
          <w:highlight w:val="none"/>
          <w:lang w:val="en-US" w:eastAsia="zh-CN"/>
        </w:rPr>
        <w:t>345</w:t>
      </w:r>
      <w:r>
        <w:rPr>
          <w:rFonts w:hint="default" w:ascii="Times New Roman" w:hAnsi="Times New Roman" w:cs="Times New Roman"/>
          <w:highlight w:val="none"/>
        </w:rPr>
        <w:t>号文件发布，</w:t>
      </w: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jc w:val="center"/>
        <w:textAlignment w:val="auto"/>
        <w:rPr>
          <w:rFonts w:hint="default" w:ascii="Times New Roman" w:hAnsi="Times New Roman" w:cs="Times New Roman"/>
          <w:highlight w:val="none"/>
        </w:rPr>
      </w:pPr>
      <w:r>
        <w:rPr>
          <w:rFonts w:hint="default" w:ascii="Times New Roman" w:hAnsi="Times New Roman" w:cs="Times New Roman"/>
          <w:highlight w:val="none"/>
        </w:rPr>
        <w:t>自发布之日起</w:t>
      </w:r>
      <w:r>
        <w:rPr>
          <w:rFonts w:hint="default" w:ascii="Times New Roman" w:hAnsi="Times New Roman" w:cs="Times New Roman"/>
          <w:highlight w:val="none"/>
          <w:lang w:eastAsia="zh-CN"/>
        </w:rPr>
        <w:t>实</w:t>
      </w:r>
      <w:r>
        <w:rPr>
          <w:rFonts w:hint="default" w:ascii="Times New Roman" w:hAnsi="Times New Roman" w:cs="Times New Roman"/>
          <w:highlight w:val="none"/>
        </w:rPr>
        <w:t>施</w:t>
      </w:r>
      <w:r>
        <w:rPr>
          <w:rFonts w:hint="default" w:ascii="Times New Roman" w:hAnsi="Times New Roman" w:eastAsia="仿宋_GB2312" w:cs="Times New Roman"/>
          <w:highlight w:val="none"/>
        </w:rPr>
        <w:t>)</w:t>
      </w:r>
    </w:p>
    <w:p>
      <w:pPr>
        <w:pStyle w:val="2"/>
        <w:rPr>
          <w:rFonts w:hint="default"/>
        </w:rPr>
      </w:pPr>
    </w:p>
    <w:p>
      <w:pPr>
        <w:bidi w:val="0"/>
        <w:ind w:left="0" w:leftChars="0" w:firstLine="0" w:firstLineChars="0"/>
        <w:jc w:val="center"/>
        <w:rPr>
          <w:rFonts w:hint="default" w:ascii="Times New Roman" w:hAnsi="Times New Roman" w:eastAsia="黑体" w:cs="Times New Roman"/>
          <w:highlight w:val="none"/>
        </w:rPr>
      </w:pPr>
      <w:r>
        <w:rPr>
          <w:rFonts w:hint="default" w:ascii="Times New Roman" w:hAnsi="Times New Roman" w:eastAsia="黑体" w:cs="Times New Roman"/>
          <w:highlight w:val="none"/>
        </w:rPr>
        <w:t>第一章</w:t>
      </w:r>
      <w:r>
        <w:rPr>
          <w:rFonts w:hint="default" w:ascii="Times New Roman" w:hAnsi="Times New Roman" w:eastAsia="黑体" w:cs="Times New Roman"/>
          <w:highlight w:val="none"/>
          <w:lang w:val="en-US" w:eastAsia="zh-CN"/>
        </w:rPr>
        <w:t xml:space="preserve"> </w:t>
      </w:r>
      <w:r>
        <w:rPr>
          <w:rFonts w:hint="default" w:ascii="Times New Roman" w:hAnsi="Times New Roman" w:eastAsia="黑体" w:cs="Times New Roman"/>
          <w:highlight w:val="none"/>
        </w:rPr>
        <w:t>总则</w:t>
      </w:r>
    </w:p>
    <w:p>
      <w:pPr>
        <w:keepNext w:val="0"/>
        <w:keepLines w:val="0"/>
        <w:pageBreakBefore w:val="0"/>
        <w:widowControl w:val="0"/>
        <w:numPr>
          <w:ilvl w:val="0"/>
          <w:numId w:val="2"/>
        </w:numPr>
        <w:kinsoku/>
        <w:wordWrap/>
        <w:overflowPunct/>
        <w:topLinePunct w:val="0"/>
        <w:autoSpaceDE/>
        <w:autoSpaceDN/>
        <w:bidi w:val="0"/>
        <w:adjustRightInd/>
        <w:snapToGrid/>
        <w:ind w:left="0" w:leftChars="0" w:firstLine="640" w:firstLineChars="200"/>
        <w:textAlignment w:val="auto"/>
        <w:rPr>
          <w:rFonts w:hint="default" w:ascii="Times New Roman" w:hAnsi="Times New Roman" w:cs="Times New Roman"/>
          <w:highlight w:val="none"/>
        </w:rPr>
      </w:pPr>
      <w:r>
        <w:rPr>
          <w:rFonts w:hint="default" w:ascii="Times New Roman" w:hAnsi="Times New Roman" w:cs="Times New Roman"/>
          <w:highlight w:val="none"/>
        </w:rPr>
        <w:t>为规范广州期货交易所（以下简称交易所）</w:t>
      </w:r>
      <w:r>
        <w:rPr>
          <w:rFonts w:hint="default" w:ascii="Times New Roman" w:hAnsi="Times New Roman" w:cs="Times New Roman"/>
          <w:highlight w:val="none"/>
          <w:lang w:val="en-US" w:eastAsia="zh-CN"/>
        </w:rPr>
        <w:t>铂</w:t>
      </w:r>
      <w:r>
        <w:rPr>
          <w:rFonts w:hint="default" w:ascii="Times New Roman" w:hAnsi="Times New Roman" w:cs="Times New Roman"/>
          <w:highlight w:val="none"/>
        </w:rPr>
        <w:t>期货、期权合约交易行为，根据《广州期货交易所交易规则》</w:t>
      </w:r>
      <w:r>
        <w:rPr>
          <w:rFonts w:hint="default" w:ascii="Times New Roman" w:hAnsi="Times New Roman" w:cs="Times New Roman"/>
          <w:highlight w:val="none"/>
          <w:lang w:eastAsia="zh-CN"/>
        </w:rPr>
        <w:t>《</w:t>
      </w:r>
      <w:r>
        <w:rPr>
          <w:rFonts w:hint="default" w:ascii="Times New Roman" w:hAnsi="Times New Roman" w:cs="Times New Roman"/>
          <w:highlight w:val="none"/>
          <w:lang w:val="en-US" w:eastAsia="zh-CN"/>
        </w:rPr>
        <w:t>广州期货交易所结算规则</w:t>
      </w:r>
      <w:r>
        <w:rPr>
          <w:rFonts w:hint="default" w:ascii="Times New Roman" w:hAnsi="Times New Roman" w:cs="Times New Roman"/>
          <w:highlight w:val="none"/>
          <w:lang w:eastAsia="zh-CN"/>
        </w:rPr>
        <w:t>》</w:t>
      </w:r>
      <w:r>
        <w:rPr>
          <w:rFonts w:hint="default" w:ascii="Times New Roman" w:hAnsi="Times New Roman" w:cs="Times New Roman"/>
          <w:highlight w:val="none"/>
        </w:rPr>
        <w:t>《广州期货交易所</w:t>
      </w:r>
      <w:r>
        <w:rPr>
          <w:rFonts w:hint="default" w:ascii="Times New Roman" w:hAnsi="Times New Roman" w:cs="Times New Roman"/>
          <w:highlight w:val="none"/>
          <w:lang w:val="en-US" w:eastAsia="zh-CN"/>
        </w:rPr>
        <w:t>铂</w:t>
      </w:r>
      <w:r>
        <w:rPr>
          <w:rFonts w:hint="default" w:ascii="Times New Roman" w:hAnsi="Times New Roman" w:cs="Times New Roman"/>
          <w:highlight w:val="none"/>
        </w:rPr>
        <w:t>期货合约》《广州期货交易所</w:t>
      </w:r>
      <w:r>
        <w:rPr>
          <w:rFonts w:hint="default" w:ascii="Times New Roman" w:hAnsi="Times New Roman" w:cs="Times New Roman"/>
          <w:highlight w:val="none"/>
          <w:lang w:val="en-US" w:eastAsia="zh-CN"/>
        </w:rPr>
        <w:t>铂</w:t>
      </w:r>
      <w:r>
        <w:rPr>
          <w:rFonts w:hint="default" w:ascii="Times New Roman" w:hAnsi="Times New Roman" w:cs="Times New Roman"/>
          <w:highlight w:val="none"/>
        </w:rPr>
        <w:t>期权合约》，制定本细则。</w:t>
      </w:r>
    </w:p>
    <w:p>
      <w:pPr>
        <w:keepNext w:val="0"/>
        <w:keepLines w:val="0"/>
        <w:pageBreakBefore w:val="0"/>
        <w:widowControl w:val="0"/>
        <w:numPr>
          <w:ilvl w:val="0"/>
          <w:numId w:val="2"/>
        </w:numPr>
        <w:kinsoku/>
        <w:wordWrap/>
        <w:overflowPunct/>
        <w:topLinePunct w:val="0"/>
        <w:autoSpaceDE/>
        <w:autoSpaceDN/>
        <w:bidi w:val="0"/>
        <w:adjustRightInd/>
        <w:snapToGrid/>
        <w:ind w:left="0" w:leftChars="0" w:firstLine="640" w:firstLineChars="200"/>
        <w:textAlignment w:val="auto"/>
        <w:rPr>
          <w:rFonts w:hint="default" w:ascii="Times New Roman" w:hAnsi="Times New Roman" w:cs="Times New Roman"/>
          <w:highlight w:val="none"/>
        </w:rPr>
      </w:pPr>
      <w:r>
        <w:rPr>
          <w:rFonts w:hint="default" w:ascii="Times New Roman" w:hAnsi="Times New Roman" w:cs="Times New Roman"/>
          <w:highlight w:val="none"/>
        </w:rPr>
        <w:t>交易所、会员、境外特殊参与者、境外中介机构、客户、指定交割库、指定质量检验机构、指定期货保证金存管银行及期货市场其他参与者应当遵守本细则。</w:t>
      </w:r>
    </w:p>
    <w:p>
      <w:pPr>
        <w:keepNext w:val="0"/>
        <w:keepLines w:val="0"/>
        <w:pageBreakBefore w:val="0"/>
        <w:widowControl w:val="0"/>
        <w:numPr>
          <w:ilvl w:val="0"/>
          <w:numId w:val="2"/>
        </w:numPr>
        <w:kinsoku/>
        <w:wordWrap/>
        <w:overflowPunct/>
        <w:topLinePunct w:val="0"/>
        <w:autoSpaceDE/>
        <w:autoSpaceDN/>
        <w:bidi w:val="0"/>
        <w:adjustRightInd/>
        <w:snapToGrid/>
        <w:ind w:left="0" w:leftChars="0" w:firstLine="640" w:firstLineChars="200"/>
        <w:textAlignment w:val="auto"/>
        <w:rPr>
          <w:rFonts w:hint="default" w:ascii="Times New Roman" w:hAnsi="Times New Roman" w:cs="Times New Roman"/>
          <w:highlight w:val="none"/>
        </w:rPr>
      </w:pPr>
      <w:r>
        <w:rPr>
          <w:rFonts w:hint="default" w:ascii="Times New Roman" w:hAnsi="Times New Roman" w:cs="Times New Roman"/>
          <w:highlight w:val="none"/>
        </w:rPr>
        <w:t>本细则未规定的，按照交易所相关业务规则的规定执行。</w:t>
      </w:r>
    </w:p>
    <w:p>
      <w:pPr>
        <w:pStyle w:val="2"/>
        <w:rPr>
          <w:rFonts w:hint="default"/>
        </w:rPr>
      </w:pPr>
    </w:p>
    <w:p>
      <w:pPr>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eastAsia="黑体" w:cs="Times New Roman"/>
          <w:highlight w:val="none"/>
        </w:rPr>
      </w:pPr>
      <w:r>
        <w:rPr>
          <w:rFonts w:hint="default" w:ascii="Times New Roman" w:hAnsi="Times New Roman" w:eastAsia="黑体" w:cs="Times New Roman"/>
          <w:highlight w:val="none"/>
        </w:rPr>
        <w:t>第二章</w:t>
      </w:r>
      <w:r>
        <w:rPr>
          <w:rFonts w:hint="default" w:ascii="Times New Roman" w:hAnsi="Times New Roman" w:eastAsia="黑体" w:cs="Times New Roman"/>
          <w:highlight w:val="none"/>
          <w:lang w:val="en-US" w:eastAsia="zh-CN"/>
        </w:rPr>
        <w:t xml:space="preserve"> </w:t>
      </w:r>
      <w:r>
        <w:rPr>
          <w:rFonts w:hint="default" w:ascii="Times New Roman" w:hAnsi="Times New Roman" w:eastAsia="黑体" w:cs="Times New Roman"/>
          <w:highlight w:val="none"/>
        </w:rPr>
        <w:t>合约主要条款和相关参数</w:t>
      </w:r>
    </w:p>
    <w:p>
      <w:pPr>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eastAsia="黑体" w:cs="Times New Roman"/>
          <w:highlight w:val="none"/>
        </w:rPr>
      </w:pPr>
      <w:r>
        <w:rPr>
          <w:rFonts w:hint="default" w:ascii="Times New Roman" w:hAnsi="Times New Roman" w:eastAsia="黑体" w:cs="Times New Roman"/>
          <w:highlight w:val="none"/>
        </w:rPr>
        <w:t>第一节</w:t>
      </w:r>
      <w:r>
        <w:rPr>
          <w:rFonts w:hint="default" w:ascii="Times New Roman" w:hAnsi="Times New Roman" w:eastAsia="黑体" w:cs="Times New Roman"/>
          <w:highlight w:val="none"/>
          <w:lang w:val="en-US" w:eastAsia="zh-CN"/>
        </w:rPr>
        <w:t xml:space="preserve"> </w:t>
      </w:r>
      <w:r>
        <w:rPr>
          <w:rFonts w:hint="default" w:ascii="Times New Roman" w:hAnsi="Times New Roman" w:eastAsia="黑体" w:cs="Times New Roman"/>
          <w:highlight w:val="none"/>
        </w:rPr>
        <w:t>期货合约</w:t>
      </w:r>
    </w:p>
    <w:p>
      <w:pPr>
        <w:keepNext w:val="0"/>
        <w:keepLines w:val="0"/>
        <w:pageBreakBefore w:val="0"/>
        <w:widowControl w:val="0"/>
        <w:numPr>
          <w:ilvl w:val="0"/>
          <w:numId w:val="2"/>
        </w:numPr>
        <w:kinsoku/>
        <w:wordWrap/>
        <w:overflowPunct/>
        <w:topLinePunct w:val="0"/>
        <w:autoSpaceDE/>
        <w:autoSpaceDN/>
        <w:bidi w:val="0"/>
        <w:adjustRightInd/>
        <w:snapToGrid/>
        <w:ind w:left="0" w:leftChars="0" w:firstLine="640" w:firstLineChars="200"/>
        <w:textAlignment w:val="auto"/>
        <w:rPr>
          <w:rFonts w:hint="default" w:ascii="Times New Roman" w:hAnsi="Times New Roman" w:cs="Times New Roman"/>
          <w:highlight w:val="none"/>
        </w:rPr>
      </w:pPr>
      <w:r>
        <w:rPr>
          <w:rFonts w:hint="default" w:ascii="Times New Roman" w:hAnsi="Times New Roman" w:cs="Times New Roman"/>
          <w:highlight w:val="none"/>
          <w:lang w:val="en-US" w:eastAsia="zh-CN"/>
        </w:rPr>
        <w:t>铂</w:t>
      </w:r>
      <w:r>
        <w:rPr>
          <w:rFonts w:hint="default" w:ascii="Times New Roman" w:hAnsi="Times New Roman" w:cs="Times New Roman"/>
          <w:highlight w:val="none"/>
        </w:rPr>
        <w:t>期货合约</w:t>
      </w:r>
      <w:r>
        <w:rPr>
          <w:rFonts w:hint="default" w:ascii="Times New Roman" w:hAnsi="Times New Roman" w:cs="Times New Roman"/>
          <w:highlight w:val="none"/>
          <w:lang w:val="en-US" w:eastAsia="zh-CN"/>
        </w:rPr>
        <w:t>基准交割品</w:t>
      </w:r>
      <w:r>
        <w:rPr>
          <w:rFonts w:hint="default" w:ascii="Times New Roman" w:hAnsi="Times New Roman" w:cs="Times New Roman"/>
          <w:highlight w:val="none"/>
        </w:rPr>
        <w:t>的质量标准</w:t>
      </w:r>
      <w:r>
        <w:rPr>
          <w:rFonts w:hint="default" w:ascii="Times New Roman" w:hAnsi="Times New Roman" w:cs="Times New Roman"/>
          <w:highlight w:val="none"/>
          <w:lang w:val="en-US" w:eastAsia="zh-CN"/>
        </w:rPr>
        <w:t>详见附件《广州期货交易所铂期货交割质量标准》</w:t>
      </w:r>
      <w:r>
        <w:rPr>
          <w:rFonts w:hint="default" w:ascii="Times New Roman" w:hAnsi="Times New Roman" w:cs="Times New Roman"/>
          <w:highlight w:val="none"/>
        </w:rPr>
        <w:t>。</w:t>
      </w:r>
    </w:p>
    <w:p>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cs="Times New Roman"/>
          <w:color w:val="000000" w:themeColor="text1"/>
          <w:highlight w:val="none"/>
          <w:lang w:val="en-US" w:eastAsia="zh-CN"/>
          <w14:textFill>
            <w14:solidFill>
              <w14:schemeClr w14:val="tx1"/>
            </w14:solidFill>
          </w14:textFill>
        </w:rPr>
      </w:pPr>
      <w:r>
        <w:rPr>
          <w:rFonts w:hint="default" w:ascii="Times New Roman" w:hAnsi="Times New Roman" w:cs="Times New Roman"/>
          <w:highlight w:val="none"/>
          <w:lang w:val="en-US" w:eastAsia="zh-CN"/>
        </w:rPr>
        <w:t>铂期货实行品牌交割制度，交割品应当是交易所公布的</w:t>
      </w:r>
      <w:r>
        <w:rPr>
          <w:rFonts w:hint="default" w:ascii="Times New Roman" w:hAnsi="Times New Roman" w:cs="Times New Roman"/>
          <w:color w:val="000000" w:themeColor="text1"/>
          <w:highlight w:val="none"/>
          <w:lang w:val="en-US" w:eastAsia="zh-CN"/>
          <w14:textFill>
            <w14:solidFill>
              <w14:schemeClr w14:val="tx1"/>
            </w14:solidFill>
          </w14:textFill>
        </w:rPr>
        <w:t>注册品牌的商品。注册品牌管理的办法由交易所另行规定。注册品牌以及相关企业由交易所另行公布。</w:t>
      </w:r>
    </w:p>
    <w:p>
      <w:pPr>
        <w:keepNext w:val="0"/>
        <w:keepLines w:val="0"/>
        <w:pageBreakBefore w:val="0"/>
        <w:widowControl w:val="0"/>
        <w:numPr>
          <w:ilvl w:val="0"/>
          <w:numId w:val="2"/>
        </w:numPr>
        <w:kinsoku/>
        <w:wordWrap/>
        <w:overflowPunct/>
        <w:topLinePunct w:val="0"/>
        <w:autoSpaceDE/>
        <w:autoSpaceDN/>
        <w:bidi w:val="0"/>
        <w:adjustRightInd/>
        <w:snapToGrid/>
        <w:ind w:left="0" w:leftChars="0" w:firstLine="640" w:firstLineChars="200"/>
        <w:textAlignment w:val="auto"/>
        <w:rPr>
          <w:rFonts w:hint="default" w:ascii="Times New Roman" w:hAnsi="Times New Roman" w:cs="Times New Roman"/>
          <w:highlight w:val="none"/>
        </w:rPr>
      </w:pPr>
      <w:r>
        <w:rPr>
          <w:rFonts w:hint="default" w:ascii="Times New Roman" w:hAnsi="Times New Roman" w:cs="Times New Roman"/>
          <w:b w:val="0"/>
          <w:bCs w:val="0"/>
          <w:color w:val="000000" w:themeColor="text1"/>
          <w:highlight w:val="none"/>
          <w:lang w:val="en-US" w:eastAsia="zh-CN"/>
          <w14:textFill>
            <w14:solidFill>
              <w14:schemeClr w14:val="tx1"/>
            </w14:solidFill>
          </w14:textFill>
        </w:rPr>
        <w:t>铂期货</w:t>
      </w:r>
      <w:r>
        <w:rPr>
          <w:rFonts w:hint="default" w:ascii="Times New Roman" w:hAnsi="Times New Roman" w:cs="Times New Roman"/>
          <w:color w:val="000000" w:themeColor="text1"/>
          <w:highlight w:val="none"/>
          <w14:textFill>
            <w14:solidFill>
              <w14:schemeClr w14:val="tx1"/>
            </w14:solidFill>
          </w14:textFill>
        </w:rPr>
        <w:t>指定交割库详见《广州期货交易所</w:t>
      </w:r>
      <w:r>
        <w:rPr>
          <w:rFonts w:hint="default" w:ascii="Times New Roman" w:hAnsi="Times New Roman" w:cs="Times New Roman"/>
          <w:color w:val="000000" w:themeColor="text1"/>
          <w:highlight w:val="none"/>
          <w:lang w:val="en-US" w:eastAsia="zh-CN"/>
          <w14:textFill>
            <w14:solidFill>
              <w14:schemeClr w14:val="tx1"/>
            </w14:solidFill>
          </w14:textFill>
        </w:rPr>
        <w:t>铂</w:t>
      </w:r>
      <w:r>
        <w:rPr>
          <w:rFonts w:hint="default" w:ascii="Times New Roman" w:hAnsi="Times New Roman" w:cs="Times New Roman"/>
          <w:highlight w:val="none"/>
        </w:rPr>
        <w:t>期货指定交割库名录》，交易所可视情况对</w:t>
      </w:r>
      <w:r>
        <w:rPr>
          <w:rFonts w:hint="default" w:ascii="Times New Roman" w:hAnsi="Times New Roman" w:cs="Times New Roman"/>
          <w:highlight w:val="none"/>
          <w:lang w:val="en-US" w:eastAsia="zh-CN"/>
        </w:rPr>
        <w:t>铂期货</w:t>
      </w:r>
      <w:r>
        <w:rPr>
          <w:rFonts w:hint="default" w:ascii="Times New Roman" w:hAnsi="Times New Roman" w:cs="Times New Roman"/>
          <w:highlight w:val="none"/>
        </w:rPr>
        <w:t>指定交割库进行调整。</w:t>
      </w:r>
    </w:p>
    <w:p>
      <w:pPr>
        <w:keepNext w:val="0"/>
        <w:keepLines w:val="0"/>
        <w:pageBreakBefore w:val="0"/>
        <w:widowControl w:val="0"/>
        <w:numPr>
          <w:ilvl w:val="0"/>
          <w:numId w:val="2"/>
        </w:numPr>
        <w:kinsoku/>
        <w:wordWrap/>
        <w:overflowPunct/>
        <w:topLinePunct w:val="0"/>
        <w:autoSpaceDE/>
        <w:autoSpaceDN/>
        <w:bidi w:val="0"/>
        <w:adjustRightInd/>
        <w:snapToGrid/>
        <w:ind w:left="0" w:leftChars="0" w:firstLine="640" w:firstLineChars="200"/>
        <w:textAlignment w:val="auto"/>
        <w:rPr>
          <w:rFonts w:hint="default" w:ascii="Times New Roman" w:hAnsi="Times New Roman" w:cs="Times New Roman"/>
          <w:highlight w:val="none"/>
        </w:rPr>
      </w:pPr>
      <w:r>
        <w:rPr>
          <w:rFonts w:hint="default" w:ascii="Times New Roman" w:hAnsi="Times New Roman" w:cs="Times New Roman"/>
          <w:b w:val="0"/>
          <w:bCs w:val="0"/>
          <w:highlight w:val="none"/>
          <w:lang w:val="en-US" w:eastAsia="zh-CN"/>
        </w:rPr>
        <w:t>铂</w:t>
      </w:r>
      <w:r>
        <w:rPr>
          <w:rFonts w:hint="default" w:ascii="Times New Roman" w:hAnsi="Times New Roman" w:cs="Times New Roman"/>
          <w:highlight w:val="none"/>
        </w:rPr>
        <w:t>期货合约的合约月份为2、4、6、8、10、12月。</w:t>
      </w:r>
    </w:p>
    <w:p>
      <w:pPr>
        <w:keepNext w:val="0"/>
        <w:keepLines w:val="0"/>
        <w:pageBreakBefore w:val="0"/>
        <w:widowControl w:val="0"/>
        <w:numPr>
          <w:ilvl w:val="0"/>
          <w:numId w:val="2"/>
        </w:numPr>
        <w:kinsoku/>
        <w:wordWrap/>
        <w:overflowPunct/>
        <w:topLinePunct w:val="0"/>
        <w:autoSpaceDE/>
        <w:autoSpaceDN/>
        <w:bidi w:val="0"/>
        <w:adjustRightInd/>
        <w:snapToGrid/>
        <w:ind w:left="0" w:leftChars="0" w:firstLine="640" w:firstLineChars="200"/>
        <w:textAlignment w:val="auto"/>
        <w:rPr>
          <w:rFonts w:hint="default" w:ascii="Times New Roman" w:hAnsi="Times New Roman" w:cs="Times New Roman"/>
          <w:highlight w:val="none"/>
        </w:rPr>
      </w:pPr>
      <w:r>
        <w:rPr>
          <w:rFonts w:hint="default" w:ascii="Times New Roman" w:hAnsi="Times New Roman" w:cs="Times New Roman"/>
          <w:b w:val="0"/>
          <w:bCs w:val="0"/>
          <w:highlight w:val="none"/>
          <w:lang w:val="en-US" w:eastAsia="zh-CN"/>
        </w:rPr>
        <w:t>铂</w:t>
      </w:r>
      <w:r>
        <w:rPr>
          <w:rFonts w:hint="default" w:ascii="Times New Roman" w:hAnsi="Times New Roman" w:cs="Times New Roman"/>
          <w:highlight w:val="none"/>
        </w:rPr>
        <w:t>期货合约的交易单位为</w:t>
      </w:r>
      <w:r>
        <w:rPr>
          <w:rFonts w:hint="default" w:ascii="Times New Roman" w:hAnsi="Times New Roman" w:cs="Times New Roman"/>
          <w:highlight w:val="none"/>
          <w:lang w:val="en-US" w:eastAsia="zh-CN"/>
        </w:rPr>
        <w:t>1000克</w:t>
      </w:r>
      <w:r>
        <w:rPr>
          <w:rFonts w:hint="default" w:ascii="Times New Roman" w:hAnsi="Times New Roman" w:cs="Times New Roman"/>
          <w:highlight w:val="none"/>
        </w:rPr>
        <w:t>/手。</w:t>
      </w:r>
    </w:p>
    <w:p>
      <w:pPr>
        <w:keepNext w:val="0"/>
        <w:keepLines w:val="0"/>
        <w:pageBreakBefore w:val="0"/>
        <w:widowControl w:val="0"/>
        <w:numPr>
          <w:ilvl w:val="0"/>
          <w:numId w:val="2"/>
        </w:numPr>
        <w:kinsoku/>
        <w:wordWrap/>
        <w:overflowPunct/>
        <w:topLinePunct w:val="0"/>
        <w:autoSpaceDE/>
        <w:autoSpaceDN/>
        <w:bidi w:val="0"/>
        <w:adjustRightInd/>
        <w:snapToGrid/>
        <w:ind w:left="0" w:leftChars="0" w:firstLine="640" w:firstLineChars="200"/>
        <w:textAlignment w:val="auto"/>
        <w:rPr>
          <w:rFonts w:hint="default" w:ascii="Times New Roman" w:hAnsi="Times New Roman" w:cs="Times New Roman"/>
          <w:highlight w:val="none"/>
        </w:rPr>
      </w:pPr>
      <w:r>
        <w:rPr>
          <w:rFonts w:hint="default" w:ascii="Times New Roman" w:hAnsi="Times New Roman" w:cs="Times New Roman"/>
          <w:highlight w:val="none"/>
          <w:lang w:val="en-US" w:eastAsia="zh-CN"/>
        </w:rPr>
        <w:t>铂</w:t>
      </w:r>
      <w:r>
        <w:rPr>
          <w:rFonts w:hint="default" w:ascii="Times New Roman" w:hAnsi="Times New Roman" w:cs="Times New Roman"/>
          <w:highlight w:val="none"/>
        </w:rPr>
        <w:t>期货合约的报价单位为元（人民币）/</w:t>
      </w:r>
      <w:r>
        <w:rPr>
          <w:rFonts w:hint="default" w:ascii="Times New Roman" w:hAnsi="Times New Roman" w:cs="Times New Roman"/>
          <w:highlight w:val="none"/>
          <w:lang w:val="en-US" w:eastAsia="zh-CN"/>
        </w:rPr>
        <w:t>克</w:t>
      </w:r>
      <w:r>
        <w:rPr>
          <w:rFonts w:hint="default" w:ascii="Times New Roman" w:hAnsi="Times New Roman" w:cs="Times New Roman"/>
          <w:highlight w:val="none"/>
        </w:rPr>
        <w:t>。</w:t>
      </w:r>
    </w:p>
    <w:p>
      <w:pPr>
        <w:keepNext w:val="0"/>
        <w:keepLines w:val="0"/>
        <w:pageBreakBefore w:val="0"/>
        <w:widowControl w:val="0"/>
        <w:numPr>
          <w:ilvl w:val="0"/>
          <w:numId w:val="2"/>
        </w:numPr>
        <w:kinsoku/>
        <w:wordWrap/>
        <w:overflowPunct/>
        <w:topLinePunct w:val="0"/>
        <w:autoSpaceDE/>
        <w:autoSpaceDN/>
        <w:bidi w:val="0"/>
        <w:adjustRightInd/>
        <w:snapToGrid/>
        <w:ind w:left="0" w:leftChars="0" w:firstLine="640" w:firstLineChars="200"/>
        <w:textAlignment w:val="auto"/>
        <w:rPr>
          <w:rFonts w:hint="default" w:ascii="Times New Roman" w:hAnsi="Times New Roman" w:cs="Times New Roman"/>
          <w:highlight w:val="none"/>
        </w:rPr>
      </w:pPr>
      <w:r>
        <w:rPr>
          <w:rFonts w:hint="default" w:ascii="Times New Roman" w:hAnsi="Times New Roman" w:cs="Times New Roman"/>
          <w:highlight w:val="none"/>
          <w:lang w:val="en-US" w:eastAsia="zh-CN"/>
        </w:rPr>
        <w:t>铂</w:t>
      </w:r>
      <w:r>
        <w:rPr>
          <w:rFonts w:hint="default" w:ascii="Times New Roman" w:hAnsi="Times New Roman" w:cs="Times New Roman"/>
          <w:highlight w:val="none"/>
        </w:rPr>
        <w:t>期货合约的最小变动价位为</w:t>
      </w:r>
      <w:r>
        <w:rPr>
          <w:rFonts w:hint="default" w:ascii="Times New Roman" w:hAnsi="Times New Roman" w:cs="Times New Roman"/>
          <w:highlight w:val="none"/>
          <w:lang w:val="en-US" w:eastAsia="zh-CN"/>
        </w:rPr>
        <w:t>0.0</w:t>
      </w:r>
      <w:r>
        <w:rPr>
          <w:rFonts w:hint="default" w:ascii="Times New Roman" w:hAnsi="Times New Roman" w:cs="Times New Roman"/>
          <w:highlight w:val="none"/>
        </w:rPr>
        <w:t>5元/</w:t>
      </w:r>
      <w:r>
        <w:rPr>
          <w:rFonts w:hint="default" w:ascii="Times New Roman" w:hAnsi="Times New Roman" w:cs="Times New Roman"/>
          <w:highlight w:val="none"/>
          <w:lang w:val="en-US" w:eastAsia="zh-CN"/>
        </w:rPr>
        <w:t>克</w:t>
      </w:r>
      <w:r>
        <w:rPr>
          <w:rFonts w:hint="default" w:ascii="Times New Roman" w:hAnsi="Times New Roman" w:cs="Times New Roman"/>
          <w:highlight w:val="none"/>
        </w:rPr>
        <w:t>。</w:t>
      </w:r>
    </w:p>
    <w:p>
      <w:pPr>
        <w:keepNext w:val="0"/>
        <w:keepLines w:val="0"/>
        <w:pageBreakBefore w:val="0"/>
        <w:widowControl w:val="0"/>
        <w:numPr>
          <w:ilvl w:val="0"/>
          <w:numId w:val="2"/>
        </w:numPr>
        <w:kinsoku/>
        <w:wordWrap/>
        <w:overflowPunct/>
        <w:topLinePunct w:val="0"/>
        <w:autoSpaceDE/>
        <w:autoSpaceDN/>
        <w:bidi w:val="0"/>
        <w:adjustRightInd/>
        <w:snapToGrid/>
        <w:ind w:left="0" w:leftChars="0" w:firstLine="640" w:firstLineChars="200"/>
        <w:textAlignment w:val="auto"/>
        <w:rPr>
          <w:rFonts w:hint="default" w:ascii="Times New Roman" w:hAnsi="Times New Roman" w:eastAsia="仿宋_GB2312" w:cs="Times New Roman"/>
          <w:highlight w:val="none"/>
          <w:lang w:eastAsia="zh-CN"/>
        </w:rPr>
      </w:pPr>
      <w:r>
        <w:rPr>
          <w:rFonts w:hint="default" w:ascii="Times New Roman" w:hAnsi="Times New Roman" w:cs="Times New Roman"/>
          <w:b w:val="0"/>
          <w:bCs w:val="0"/>
          <w:highlight w:val="none"/>
          <w:lang w:val="en-US" w:eastAsia="zh-CN"/>
        </w:rPr>
        <w:t>铂</w:t>
      </w:r>
      <w:r>
        <w:rPr>
          <w:rFonts w:hint="default" w:ascii="Times New Roman" w:hAnsi="Times New Roman" w:cs="Times New Roman"/>
          <w:highlight w:val="none"/>
        </w:rPr>
        <w:t>期货合约的交易指令每次最大下单数量为1000手，每次最小下单数量为1手，交易所可根据市场情况进行调整并另行公告。</w:t>
      </w:r>
    </w:p>
    <w:p>
      <w:pPr>
        <w:keepNext w:val="0"/>
        <w:keepLines w:val="0"/>
        <w:pageBreakBefore w:val="0"/>
        <w:widowControl w:val="0"/>
        <w:numPr>
          <w:ilvl w:val="0"/>
          <w:numId w:val="2"/>
        </w:numPr>
        <w:kinsoku/>
        <w:wordWrap/>
        <w:overflowPunct/>
        <w:topLinePunct w:val="0"/>
        <w:autoSpaceDE/>
        <w:autoSpaceDN/>
        <w:bidi w:val="0"/>
        <w:adjustRightInd/>
        <w:snapToGrid/>
        <w:ind w:left="0" w:leftChars="0" w:firstLine="640" w:firstLineChars="200"/>
        <w:textAlignment w:val="auto"/>
        <w:rPr>
          <w:rFonts w:hint="default" w:ascii="Times New Roman" w:hAnsi="Times New Roman" w:cs="Times New Roman"/>
          <w:highlight w:val="none"/>
        </w:rPr>
      </w:pPr>
      <w:r>
        <w:rPr>
          <w:rFonts w:hint="default" w:ascii="Times New Roman" w:hAnsi="Times New Roman" w:cs="Times New Roman"/>
          <w:b w:val="0"/>
          <w:bCs w:val="0"/>
          <w:highlight w:val="none"/>
          <w:lang w:val="en-US" w:eastAsia="zh-CN"/>
        </w:rPr>
        <w:t>铂</w:t>
      </w:r>
      <w:r>
        <w:rPr>
          <w:rFonts w:hint="default" w:ascii="Times New Roman" w:hAnsi="Times New Roman" w:cs="Times New Roman"/>
          <w:highlight w:val="none"/>
        </w:rPr>
        <w:t>期货合约交割月份以前的月份涨跌停板幅度为上一交易日结算价的4%，交割月份的涨跌停板幅度为上一交易日结算价的6%。</w:t>
      </w:r>
      <w:bookmarkStart w:id="2" w:name="_GoBack"/>
      <w:bookmarkEnd w:id="2"/>
    </w:p>
    <w:p>
      <w:pPr>
        <w:keepNext w:val="0"/>
        <w:keepLines w:val="0"/>
        <w:pageBreakBefore w:val="0"/>
        <w:widowControl w:val="0"/>
        <w:numPr>
          <w:ilvl w:val="0"/>
          <w:numId w:val="2"/>
        </w:numPr>
        <w:kinsoku/>
        <w:wordWrap/>
        <w:overflowPunct/>
        <w:topLinePunct w:val="0"/>
        <w:autoSpaceDE/>
        <w:autoSpaceDN/>
        <w:bidi w:val="0"/>
        <w:adjustRightInd/>
        <w:snapToGrid/>
        <w:ind w:left="0" w:leftChars="0" w:firstLine="640" w:firstLineChars="200"/>
        <w:textAlignment w:val="auto"/>
        <w:rPr>
          <w:rFonts w:hint="default" w:ascii="Times New Roman" w:hAnsi="Times New Roman" w:cs="Times New Roman"/>
          <w:highlight w:val="none"/>
        </w:rPr>
      </w:pPr>
      <w:r>
        <w:rPr>
          <w:rFonts w:hint="default" w:ascii="Times New Roman" w:hAnsi="Times New Roman" w:cs="Times New Roman"/>
          <w:highlight w:val="none"/>
          <w:lang w:val="en-US" w:eastAsia="zh-CN"/>
        </w:rPr>
        <w:t>铂</w:t>
      </w:r>
      <w:r>
        <w:rPr>
          <w:rFonts w:hint="default" w:ascii="Times New Roman" w:hAnsi="Times New Roman" w:cs="Times New Roman"/>
          <w:highlight w:val="none"/>
        </w:rPr>
        <w:t>期货合约的最低交易保证金为合约价值的5%。自进入交割月份前1个月第1</w:t>
      </w:r>
      <w:r>
        <w:rPr>
          <w:rFonts w:hint="default" w:ascii="Times New Roman" w:hAnsi="Times New Roman" w:cs="Times New Roman"/>
          <w:highlight w:val="none"/>
          <w:lang w:val="en-US" w:eastAsia="zh-CN"/>
        </w:rPr>
        <w:t>0</w:t>
      </w:r>
      <w:r>
        <w:rPr>
          <w:rFonts w:hint="default" w:ascii="Times New Roman" w:hAnsi="Times New Roman" w:cs="Times New Roman"/>
          <w:highlight w:val="none"/>
        </w:rPr>
        <w:t>个交易日起，交易所将分时间段逐步提高合约的交易保证金标准，交易保证金标准为：</w:t>
      </w: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414"/>
        <w:gridCol w:w="35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14" w:type="dxa"/>
          </w:tcPr>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仿宋_GB2312" w:cs="Times New Roman"/>
                <w:bCs/>
                <w:sz w:val="32"/>
                <w:szCs w:val="32"/>
                <w:highlight w:val="none"/>
              </w:rPr>
            </w:pPr>
            <w:r>
              <w:rPr>
                <w:rFonts w:hint="default" w:ascii="Times New Roman" w:hAnsi="Times New Roman" w:eastAsia="仿宋_GB2312" w:cs="Times New Roman"/>
                <w:bCs/>
                <w:sz w:val="32"/>
                <w:szCs w:val="32"/>
                <w:highlight w:val="none"/>
              </w:rPr>
              <w:t>交易时间段</w:t>
            </w:r>
          </w:p>
        </w:tc>
        <w:tc>
          <w:tcPr>
            <w:tcW w:w="3505" w:type="dxa"/>
          </w:tcPr>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仿宋_GB2312" w:cs="Times New Roman"/>
                <w:bCs/>
                <w:sz w:val="32"/>
                <w:szCs w:val="32"/>
                <w:highlight w:val="none"/>
              </w:rPr>
            </w:pPr>
            <w:r>
              <w:rPr>
                <w:rFonts w:hint="default" w:ascii="Times New Roman" w:hAnsi="Times New Roman" w:eastAsia="仿宋_GB2312" w:cs="Times New Roman"/>
                <w:bCs/>
                <w:sz w:val="32"/>
                <w:szCs w:val="32"/>
                <w:highlight w:val="none"/>
              </w:rPr>
              <w:t>交易保证金标准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14" w:type="dxa"/>
          </w:tcPr>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仿宋_GB2312" w:cs="Times New Roman"/>
                <w:bCs/>
                <w:sz w:val="32"/>
                <w:szCs w:val="32"/>
                <w:highlight w:val="none"/>
              </w:rPr>
            </w:pPr>
            <w:r>
              <w:rPr>
                <w:rFonts w:hint="default" w:ascii="Times New Roman" w:hAnsi="Times New Roman" w:eastAsia="仿宋_GB2312" w:cs="Times New Roman"/>
                <w:bCs/>
                <w:sz w:val="32"/>
                <w:szCs w:val="32"/>
                <w:highlight w:val="none"/>
              </w:rPr>
              <w:t>交割月份前</w:t>
            </w:r>
            <w:r>
              <w:rPr>
                <w:rFonts w:hint="default" w:ascii="Times New Roman" w:hAnsi="Times New Roman" w:cs="Times New Roman"/>
                <w:bCs/>
                <w:sz w:val="32"/>
                <w:szCs w:val="32"/>
                <w:highlight w:val="none"/>
                <w:lang w:val="en-US" w:eastAsia="zh-CN"/>
              </w:rPr>
              <w:t>1</w:t>
            </w:r>
            <w:r>
              <w:rPr>
                <w:rFonts w:hint="default" w:ascii="Times New Roman" w:hAnsi="Times New Roman" w:eastAsia="仿宋_GB2312" w:cs="Times New Roman"/>
                <w:bCs/>
                <w:sz w:val="32"/>
                <w:szCs w:val="32"/>
                <w:highlight w:val="none"/>
              </w:rPr>
              <w:t>个月第</w:t>
            </w:r>
            <w:r>
              <w:rPr>
                <w:rFonts w:hint="default" w:ascii="Times New Roman" w:hAnsi="Times New Roman" w:cs="Times New Roman"/>
                <w:bCs/>
                <w:sz w:val="32"/>
                <w:szCs w:val="32"/>
                <w:highlight w:val="none"/>
                <w:lang w:val="en-US" w:eastAsia="zh-CN"/>
              </w:rPr>
              <w:t>10</w:t>
            </w:r>
            <w:r>
              <w:rPr>
                <w:rFonts w:hint="default" w:ascii="Times New Roman" w:hAnsi="Times New Roman" w:eastAsia="仿宋_GB2312" w:cs="Times New Roman"/>
                <w:bCs/>
                <w:sz w:val="32"/>
                <w:szCs w:val="32"/>
                <w:highlight w:val="none"/>
              </w:rPr>
              <w:t>个交易日起</w:t>
            </w:r>
          </w:p>
        </w:tc>
        <w:tc>
          <w:tcPr>
            <w:tcW w:w="3505" w:type="dxa"/>
          </w:tcPr>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仿宋_GB2312" w:cs="Times New Roman"/>
                <w:bCs/>
                <w:sz w:val="32"/>
                <w:szCs w:val="32"/>
                <w:highlight w:val="none"/>
              </w:rPr>
            </w:pPr>
            <w:r>
              <w:rPr>
                <w:rFonts w:hint="default" w:ascii="Times New Roman" w:hAnsi="Times New Roman" w:eastAsia="仿宋_GB2312" w:cs="Times New Roman"/>
                <w:bCs/>
                <w:sz w:val="32"/>
                <w:szCs w:val="32"/>
                <w:highlight w:val="none"/>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14" w:type="dxa"/>
          </w:tcPr>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仿宋_GB2312" w:cs="Times New Roman"/>
                <w:bCs/>
                <w:sz w:val="32"/>
                <w:szCs w:val="32"/>
                <w:highlight w:val="none"/>
              </w:rPr>
            </w:pPr>
            <w:r>
              <w:rPr>
                <w:rFonts w:hint="default" w:ascii="Times New Roman" w:hAnsi="Times New Roman" w:eastAsia="仿宋_GB2312" w:cs="Times New Roman"/>
                <w:bCs/>
                <w:sz w:val="32"/>
                <w:szCs w:val="32"/>
                <w:highlight w:val="none"/>
              </w:rPr>
              <w:t>交割月份第</w:t>
            </w:r>
            <w:r>
              <w:rPr>
                <w:rFonts w:hint="default" w:ascii="Times New Roman" w:hAnsi="Times New Roman" w:cs="Times New Roman"/>
                <w:bCs/>
                <w:sz w:val="32"/>
                <w:szCs w:val="32"/>
                <w:highlight w:val="none"/>
                <w:lang w:val="en-US" w:eastAsia="zh-CN"/>
              </w:rPr>
              <w:t>1</w:t>
            </w:r>
            <w:r>
              <w:rPr>
                <w:rFonts w:hint="default" w:ascii="Times New Roman" w:hAnsi="Times New Roman" w:eastAsia="仿宋_GB2312" w:cs="Times New Roman"/>
                <w:bCs/>
                <w:sz w:val="32"/>
                <w:szCs w:val="32"/>
                <w:highlight w:val="none"/>
              </w:rPr>
              <w:t>个交易日起</w:t>
            </w:r>
          </w:p>
        </w:tc>
        <w:tc>
          <w:tcPr>
            <w:tcW w:w="3505" w:type="dxa"/>
          </w:tcPr>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仿宋_GB2312" w:cs="Times New Roman"/>
                <w:bCs/>
                <w:sz w:val="32"/>
                <w:szCs w:val="32"/>
                <w:highlight w:val="none"/>
              </w:rPr>
            </w:pPr>
            <w:r>
              <w:rPr>
                <w:rFonts w:hint="default" w:ascii="Times New Roman" w:hAnsi="Times New Roman" w:eastAsia="仿宋_GB2312" w:cs="Times New Roman"/>
                <w:bCs/>
                <w:sz w:val="32"/>
                <w:szCs w:val="32"/>
                <w:highlight w:val="none"/>
              </w:rPr>
              <w:t>20%</w:t>
            </w:r>
          </w:p>
        </w:tc>
      </w:tr>
    </w:tbl>
    <w:p>
      <w:pPr>
        <w:keepNext w:val="0"/>
        <w:keepLines w:val="0"/>
        <w:pageBreakBefore w:val="0"/>
        <w:widowControl w:val="0"/>
        <w:numPr>
          <w:ilvl w:val="0"/>
          <w:numId w:val="2"/>
        </w:numPr>
        <w:kinsoku/>
        <w:wordWrap/>
        <w:overflowPunct/>
        <w:topLinePunct w:val="0"/>
        <w:autoSpaceDE/>
        <w:autoSpaceDN/>
        <w:bidi w:val="0"/>
        <w:adjustRightInd/>
        <w:snapToGrid/>
        <w:ind w:left="0" w:leftChars="0" w:firstLine="640" w:firstLineChars="200"/>
        <w:textAlignment w:val="auto"/>
        <w:rPr>
          <w:rFonts w:hint="default" w:ascii="Times New Roman" w:hAnsi="Times New Roman" w:cs="Times New Roman"/>
          <w:highlight w:val="none"/>
        </w:rPr>
      </w:pPr>
      <w:r>
        <w:rPr>
          <w:rFonts w:hint="default" w:ascii="Times New Roman" w:hAnsi="Times New Roman" w:cs="Times New Roman"/>
          <w:highlight w:val="none"/>
          <w:lang w:val="en-US" w:eastAsia="zh-CN"/>
        </w:rPr>
        <w:t>铂</w:t>
      </w:r>
      <w:r>
        <w:rPr>
          <w:rFonts w:hint="default" w:ascii="Times New Roman" w:hAnsi="Times New Roman" w:cs="Times New Roman"/>
          <w:highlight w:val="none"/>
        </w:rPr>
        <w:t>期货合约非期货公司会员、境外特殊非经纪参与者、客户持仓限额见下表，交割月份个人客户持仓限额为0手：</w:t>
      </w:r>
    </w:p>
    <w:p>
      <w:pPr>
        <w:rPr>
          <w:rFonts w:hint="default" w:ascii="Times New Roman" w:hAnsi="Times New Roman" w:cs="Times New Roman"/>
          <w:highlight w:val="none"/>
        </w:rPr>
      </w:pPr>
      <w:r>
        <w:rPr>
          <w:rFonts w:hint="default" w:ascii="Times New Roman" w:hAnsi="Times New Roman" w:cs="Times New Roman"/>
          <w:highlight w:val="none"/>
        </w:rPr>
        <w:br w:type="page"/>
      </w:r>
    </w:p>
    <w:tbl>
      <w:tblPr>
        <w:tblStyle w:val="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560"/>
        <w:gridCol w:w="3077"/>
        <w:gridCol w:w="23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0" w:type="auto"/>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ascii="Times New Roman" w:hAnsi="Times New Roman" w:eastAsia="仿宋_GB2312" w:cs="Times New Roman"/>
                <w:bCs/>
                <w:sz w:val="32"/>
                <w:szCs w:val="32"/>
                <w:highlight w:val="none"/>
              </w:rPr>
            </w:pPr>
            <w:r>
              <w:rPr>
                <w:rFonts w:ascii="Times New Roman" w:hAnsi="Times New Roman" w:eastAsia="仿宋_GB2312" w:cs="Times New Roman"/>
                <w:bCs/>
                <w:sz w:val="32"/>
                <w:szCs w:val="32"/>
                <w:highlight w:val="none"/>
              </w:rPr>
              <w:t>时间段</w:t>
            </w:r>
          </w:p>
        </w:tc>
        <w:tc>
          <w:tcPr>
            <w:tcW w:w="0" w:type="auto"/>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ascii="Times New Roman" w:hAnsi="Times New Roman" w:eastAsia="仿宋_GB2312" w:cs="Times New Roman"/>
                <w:bCs/>
                <w:sz w:val="32"/>
                <w:szCs w:val="32"/>
                <w:highlight w:val="none"/>
              </w:rPr>
            </w:pPr>
            <w:r>
              <w:rPr>
                <w:rFonts w:ascii="Times New Roman" w:hAnsi="Times New Roman" w:eastAsia="仿宋_GB2312" w:cs="Times New Roman"/>
                <w:bCs/>
                <w:sz w:val="32"/>
                <w:szCs w:val="32"/>
                <w:highlight w:val="none"/>
              </w:rPr>
              <w:t>非期货公司会员</w:t>
            </w:r>
            <w:r>
              <w:rPr>
                <w:rFonts w:hint="default" w:ascii="Times New Roman" w:hAnsi="Times New Roman" w:eastAsia="仿宋_GB2312" w:cs="Times New Roman"/>
                <w:bCs/>
                <w:sz w:val="32"/>
                <w:szCs w:val="32"/>
                <w:highlight w:val="none"/>
              </w:rPr>
              <w:t>、</w:t>
            </w:r>
            <w:r>
              <w:rPr>
                <w:rFonts w:hint="default" w:ascii="Times New Roman" w:hAnsi="Times New Roman" w:eastAsia="仿宋_GB2312" w:cs="Times New Roman"/>
                <w:sz w:val="32"/>
                <w:szCs w:val="32"/>
                <w:highlight w:val="none"/>
              </w:rPr>
              <w:t>境外特殊非经纪参与者、客户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0" w:type="auto"/>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ascii="Times New Roman" w:hAnsi="Times New Roman" w:eastAsia="仿宋_GB2312" w:cs="Times New Roman"/>
                <w:bCs/>
                <w:sz w:val="32"/>
                <w:szCs w:val="32"/>
                <w:highlight w:val="none"/>
              </w:rPr>
            </w:pPr>
            <w:r>
              <w:rPr>
                <w:rFonts w:ascii="Times New Roman" w:hAnsi="Times New Roman" w:eastAsia="仿宋_GB2312" w:cs="Times New Roman"/>
                <w:bCs/>
                <w:sz w:val="32"/>
                <w:szCs w:val="32"/>
                <w:highlight w:val="none"/>
              </w:rPr>
              <w:t>一般月份</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ascii="Times New Roman" w:hAnsi="Times New Roman" w:eastAsia="仿宋_GB2312" w:cs="Times New Roman"/>
                <w:bCs/>
                <w:sz w:val="32"/>
                <w:szCs w:val="32"/>
                <w:highlight w:val="none"/>
              </w:rPr>
            </w:pPr>
            <w:r>
              <w:rPr>
                <w:rFonts w:ascii="Times New Roman" w:hAnsi="Times New Roman" w:eastAsia="仿宋_GB2312" w:cs="Times New Roman"/>
                <w:bCs/>
                <w:sz w:val="32"/>
                <w:szCs w:val="32"/>
                <w:highlight w:val="none"/>
              </w:rPr>
              <w:t>N&gt;</w:t>
            </w:r>
            <w:r>
              <w:rPr>
                <w:rFonts w:hint="default" w:ascii="Times New Roman" w:hAnsi="Times New Roman" w:cs="Times New Roman"/>
                <w:bCs/>
                <w:sz w:val="32"/>
                <w:szCs w:val="32"/>
                <w:highlight w:val="none"/>
                <w:lang w:val="en-US" w:eastAsia="zh-CN"/>
              </w:rPr>
              <w:t>12000</w:t>
            </w:r>
            <w:r>
              <w:rPr>
                <w:rFonts w:ascii="Times New Roman" w:hAnsi="Times New Roman" w:eastAsia="仿宋_GB2312" w:cs="Times New Roman"/>
                <w:bCs/>
                <w:sz w:val="32"/>
                <w:szCs w:val="32"/>
                <w:highlight w:val="none"/>
              </w:rPr>
              <w:t>手</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ascii="Times New Roman" w:hAnsi="Times New Roman" w:eastAsia="仿宋_GB2312" w:cs="Times New Roman"/>
                <w:bCs/>
                <w:sz w:val="32"/>
                <w:szCs w:val="32"/>
                <w:highlight w:val="none"/>
              </w:rPr>
            </w:pPr>
            <w:r>
              <w:rPr>
                <w:rFonts w:ascii="Times New Roman" w:hAnsi="Times New Roman" w:eastAsia="仿宋_GB2312" w:cs="Times New Roman"/>
                <w:bCs/>
                <w:sz w:val="32"/>
                <w:szCs w:val="32"/>
                <w:highlight w:val="none"/>
              </w:rPr>
              <w:t>N×</w:t>
            </w:r>
            <w:r>
              <w:rPr>
                <w:rFonts w:hint="default" w:ascii="Times New Roman" w:hAnsi="Times New Roman" w:cs="Times New Roman"/>
                <w:bCs/>
                <w:sz w:val="32"/>
                <w:szCs w:val="32"/>
                <w:highlight w:val="none"/>
                <w:lang w:val="en-US" w:eastAsia="zh-CN"/>
              </w:rPr>
              <w:t>5</w:t>
            </w:r>
            <w:r>
              <w:rPr>
                <w:rFonts w:ascii="Times New Roman" w:hAnsi="Times New Roman" w:eastAsia="仿宋_GB2312" w:cs="Times New Roman"/>
                <w:bCs/>
                <w:sz w:val="32"/>
                <w:szCs w:val="32"/>
                <w:highlight w:val="none"/>
              </w:rPr>
              <w:t>%</w:t>
            </w:r>
            <w:r>
              <w:rPr>
                <w:rFonts w:hint="default" w:ascii="Times New Roman" w:hAnsi="Times New Roman" w:eastAsia="仿宋_GB2312" w:cs="Times New Roman"/>
                <w:bCs/>
                <w:sz w:val="32"/>
                <w:szCs w:val="32"/>
                <w:highlight w:val="none"/>
              </w:rPr>
              <w:t>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0" w:type="auto"/>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ascii="Times New Roman" w:hAnsi="Times New Roman" w:eastAsia="仿宋_GB2312" w:cs="Times New Roman"/>
                <w:bCs/>
                <w:sz w:val="32"/>
                <w:szCs w:val="32"/>
                <w:highlight w:val="none"/>
              </w:rPr>
            </w:pP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ascii="Times New Roman" w:hAnsi="Times New Roman" w:eastAsia="仿宋_GB2312" w:cs="Times New Roman"/>
                <w:bCs/>
                <w:sz w:val="32"/>
                <w:szCs w:val="32"/>
                <w:highlight w:val="none"/>
              </w:rPr>
            </w:pPr>
            <w:r>
              <w:rPr>
                <w:rFonts w:ascii="Times New Roman" w:hAnsi="Times New Roman" w:eastAsia="仿宋_GB2312" w:cs="Times New Roman"/>
                <w:bCs/>
                <w:sz w:val="32"/>
                <w:szCs w:val="32"/>
                <w:highlight w:val="none"/>
              </w:rPr>
              <w:t>N≤</w:t>
            </w:r>
            <w:r>
              <w:rPr>
                <w:rFonts w:hint="default" w:ascii="Times New Roman" w:hAnsi="Times New Roman" w:cs="Times New Roman"/>
                <w:bCs/>
                <w:sz w:val="32"/>
                <w:szCs w:val="32"/>
                <w:highlight w:val="none"/>
                <w:lang w:val="en-US" w:eastAsia="zh-CN"/>
              </w:rPr>
              <w:t>12000</w:t>
            </w:r>
            <w:r>
              <w:rPr>
                <w:rFonts w:ascii="Times New Roman" w:hAnsi="Times New Roman" w:eastAsia="仿宋_GB2312" w:cs="Times New Roman"/>
                <w:bCs/>
                <w:sz w:val="32"/>
                <w:szCs w:val="32"/>
                <w:highlight w:val="none"/>
              </w:rPr>
              <w:t>手</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ascii="Times New Roman" w:hAnsi="Times New Roman" w:eastAsia="仿宋_GB2312" w:cs="Times New Roman"/>
                <w:bCs/>
                <w:sz w:val="32"/>
                <w:szCs w:val="32"/>
                <w:highlight w:val="none"/>
              </w:rPr>
            </w:pPr>
            <w:r>
              <w:rPr>
                <w:rFonts w:hint="default" w:ascii="Times New Roman" w:hAnsi="Times New Roman" w:cs="Times New Roman"/>
                <w:bCs/>
                <w:sz w:val="32"/>
                <w:szCs w:val="32"/>
                <w:highlight w:val="none"/>
                <w:lang w:val="en-US" w:eastAsia="zh-CN"/>
              </w:rPr>
              <w:t>600</w:t>
            </w:r>
            <w:r>
              <w:rPr>
                <w:rFonts w:ascii="Times New Roman" w:hAnsi="Times New Roman" w:eastAsia="仿宋_GB2312" w:cs="Times New Roman"/>
                <w:bCs/>
                <w:sz w:val="32"/>
                <w:szCs w:val="32"/>
                <w:highlight w:val="none"/>
              </w:rPr>
              <w:t>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0" w:type="auto"/>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ascii="Times New Roman" w:hAnsi="Times New Roman" w:eastAsia="仿宋_GB2312" w:cs="Times New Roman"/>
                <w:bCs/>
                <w:sz w:val="32"/>
                <w:szCs w:val="32"/>
                <w:highlight w:val="none"/>
              </w:rPr>
            </w:pPr>
            <w:r>
              <w:rPr>
                <w:rFonts w:ascii="Times New Roman" w:hAnsi="Times New Roman" w:eastAsia="仿宋_GB2312" w:cs="Times New Roman"/>
                <w:bCs/>
                <w:sz w:val="32"/>
                <w:szCs w:val="32"/>
                <w:highlight w:val="none"/>
              </w:rPr>
              <w:t>交割月份前</w:t>
            </w:r>
            <w:r>
              <w:rPr>
                <w:rFonts w:hint="default" w:ascii="Times New Roman" w:hAnsi="Times New Roman" w:cs="Times New Roman"/>
                <w:bCs/>
                <w:sz w:val="32"/>
                <w:szCs w:val="32"/>
                <w:highlight w:val="none"/>
                <w:lang w:val="en-US" w:eastAsia="zh-CN"/>
              </w:rPr>
              <w:t>1</w:t>
            </w:r>
            <w:r>
              <w:rPr>
                <w:rFonts w:ascii="Times New Roman" w:hAnsi="Times New Roman" w:eastAsia="仿宋_GB2312" w:cs="Times New Roman"/>
                <w:bCs/>
                <w:sz w:val="32"/>
                <w:szCs w:val="32"/>
                <w:highlight w:val="none"/>
              </w:rPr>
              <w:t>个月第</w:t>
            </w:r>
            <w:r>
              <w:rPr>
                <w:rFonts w:hint="default" w:ascii="Times New Roman" w:hAnsi="Times New Roman" w:cs="Times New Roman"/>
                <w:bCs/>
                <w:sz w:val="32"/>
                <w:szCs w:val="32"/>
                <w:highlight w:val="none"/>
                <w:lang w:val="en-US" w:eastAsia="zh-CN"/>
              </w:rPr>
              <w:t>10</w:t>
            </w:r>
            <w:r>
              <w:rPr>
                <w:rFonts w:ascii="Times New Roman" w:hAnsi="Times New Roman" w:eastAsia="仿宋_GB2312" w:cs="Times New Roman"/>
                <w:bCs/>
                <w:sz w:val="32"/>
                <w:szCs w:val="32"/>
                <w:highlight w:val="none"/>
              </w:rPr>
              <w:t>个交易日起</w:t>
            </w:r>
          </w:p>
        </w:tc>
        <w:tc>
          <w:tcPr>
            <w:tcW w:w="0" w:type="auto"/>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ascii="Times New Roman" w:hAnsi="Times New Roman" w:eastAsia="仿宋_GB2312" w:cs="Times New Roman"/>
                <w:bCs/>
                <w:sz w:val="32"/>
                <w:szCs w:val="32"/>
                <w:highlight w:val="none"/>
              </w:rPr>
            </w:pPr>
            <w:r>
              <w:rPr>
                <w:rFonts w:hint="default" w:ascii="Times New Roman" w:hAnsi="Times New Roman" w:cs="Times New Roman"/>
                <w:bCs/>
                <w:sz w:val="32"/>
                <w:szCs w:val="32"/>
                <w:highlight w:val="none"/>
                <w:lang w:val="en-US" w:eastAsia="zh-CN"/>
              </w:rPr>
              <w:t>180</w:t>
            </w:r>
            <w:r>
              <w:rPr>
                <w:rFonts w:ascii="Times New Roman" w:hAnsi="Times New Roman" w:eastAsia="仿宋_GB2312" w:cs="Times New Roman"/>
                <w:bCs/>
                <w:sz w:val="32"/>
                <w:szCs w:val="32"/>
                <w:highlight w:val="none"/>
              </w:rPr>
              <w:t>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0" w:type="auto"/>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ascii="Times New Roman" w:hAnsi="Times New Roman" w:eastAsia="仿宋_GB2312" w:cs="Times New Roman"/>
                <w:bCs/>
                <w:sz w:val="32"/>
                <w:szCs w:val="32"/>
                <w:highlight w:val="none"/>
              </w:rPr>
            </w:pPr>
            <w:r>
              <w:rPr>
                <w:rFonts w:ascii="Times New Roman" w:hAnsi="Times New Roman" w:eastAsia="仿宋_GB2312" w:cs="Times New Roman"/>
                <w:bCs/>
                <w:sz w:val="32"/>
                <w:szCs w:val="32"/>
                <w:highlight w:val="none"/>
              </w:rPr>
              <w:t>交割月份</w:t>
            </w:r>
          </w:p>
        </w:tc>
        <w:tc>
          <w:tcPr>
            <w:tcW w:w="0" w:type="auto"/>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ascii="Times New Roman" w:hAnsi="Times New Roman" w:eastAsia="仿宋_GB2312" w:cs="Times New Roman"/>
                <w:bCs/>
                <w:sz w:val="32"/>
                <w:szCs w:val="32"/>
                <w:highlight w:val="none"/>
              </w:rPr>
            </w:pPr>
            <w:r>
              <w:rPr>
                <w:rFonts w:hint="default" w:ascii="Times New Roman" w:hAnsi="Times New Roman" w:cs="Times New Roman"/>
                <w:bCs/>
                <w:sz w:val="32"/>
                <w:szCs w:val="32"/>
                <w:highlight w:val="none"/>
                <w:lang w:val="en-US" w:eastAsia="zh-CN"/>
              </w:rPr>
              <w:t>60</w:t>
            </w:r>
            <w:r>
              <w:rPr>
                <w:rFonts w:ascii="Times New Roman" w:hAnsi="Times New Roman" w:eastAsia="仿宋_GB2312" w:cs="Times New Roman"/>
                <w:bCs/>
                <w:sz w:val="32"/>
                <w:szCs w:val="32"/>
                <w:highlight w:val="none"/>
              </w:rPr>
              <w:t>手</w:t>
            </w:r>
          </w:p>
        </w:tc>
      </w:tr>
    </w:tbl>
    <w:p>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cs="Times New Roman"/>
          <w:highlight w:val="none"/>
        </w:rPr>
      </w:pPr>
      <w:r>
        <w:rPr>
          <w:rFonts w:hint="default" w:ascii="Times New Roman" w:hAnsi="Times New Roman" w:cs="Times New Roman"/>
          <w:highlight w:val="none"/>
        </w:rPr>
        <w:t>注：N为某一合约单边持仓总量。</w:t>
      </w:r>
    </w:p>
    <w:p>
      <w:pPr>
        <w:keepNext w:val="0"/>
        <w:keepLines w:val="0"/>
        <w:pageBreakBefore w:val="0"/>
        <w:widowControl w:val="0"/>
        <w:numPr>
          <w:ilvl w:val="0"/>
          <w:numId w:val="2"/>
        </w:numPr>
        <w:kinsoku/>
        <w:wordWrap/>
        <w:overflowPunct/>
        <w:topLinePunct w:val="0"/>
        <w:autoSpaceDE/>
        <w:autoSpaceDN/>
        <w:bidi w:val="0"/>
        <w:adjustRightInd/>
        <w:snapToGrid/>
        <w:ind w:left="0" w:leftChars="0" w:firstLine="640" w:firstLineChars="200"/>
        <w:textAlignment w:val="auto"/>
        <w:rPr>
          <w:rFonts w:hint="default" w:ascii="Times New Roman" w:hAnsi="Times New Roman" w:eastAsia="仿宋_GB2312" w:cs="Times New Roman"/>
          <w:highlight w:val="none"/>
          <w:lang w:eastAsia="zh-CN"/>
        </w:rPr>
      </w:pPr>
      <w:r>
        <w:rPr>
          <w:rFonts w:hint="default" w:ascii="Times New Roman" w:hAnsi="Times New Roman" w:cs="Times New Roman"/>
          <w:highlight w:val="none"/>
        </w:rPr>
        <w:t>非期货公司会员、境外特殊非经纪参与者、客户</w:t>
      </w:r>
      <w:r>
        <w:rPr>
          <w:rFonts w:hint="default" w:ascii="Times New Roman" w:hAnsi="Times New Roman" w:cs="Times New Roman"/>
          <w:highlight w:val="none"/>
          <w:lang w:val="en-US" w:eastAsia="zh-CN"/>
        </w:rPr>
        <w:t>铂</w:t>
      </w:r>
      <w:r>
        <w:rPr>
          <w:rFonts w:hint="default" w:ascii="Times New Roman" w:hAnsi="Times New Roman" w:cs="Times New Roman"/>
          <w:highlight w:val="none"/>
        </w:rPr>
        <w:t>期货合约大户报告标准为交易所对其规定的持仓限额的80%（含本数）。</w:t>
      </w:r>
    </w:p>
    <w:p>
      <w:pPr>
        <w:keepNext w:val="0"/>
        <w:keepLines w:val="0"/>
        <w:pageBreakBefore w:val="0"/>
        <w:widowControl w:val="0"/>
        <w:numPr>
          <w:ilvl w:val="0"/>
          <w:numId w:val="2"/>
        </w:numPr>
        <w:kinsoku/>
        <w:wordWrap/>
        <w:overflowPunct/>
        <w:topLinePunct w:val="0"/>
        <w:autoSpaceDE/>
        <w:autoSpaceDN/>
        <w:bidi w:val="0"/>
        <w:adjustRightInd/>
        <w:snapToGrid/>
        <w:ind w:left="0" w:leftChars="0" w:firstLine="640" w:firstLineChars="200"/>
        <w:textAlignment w:val="auto"/>
        <w:rPr>
          <w:rFonts w:hint="default" w:ascii="Times New Roman" w:hAnsi="Times New Roman" w:cs="Times New Roman"/>
          <w:highlight w:val="none"/>
        </w:rPr>
      </w:pPr>
      <w:r>
        <w:rPr>
          <w:rFonts w:hint="default" w:ascii="Times New Roman" w:hAnsi="Times New Roman" w:cs="Times New Roman"/>
          <w:b w:val="0"/>
          <w:bCs w:val="0"/>
          <w:highlight w:val="none"/>
          <w:lang w:val="en-US" w:eastAsia="zh-CN"/>
        </w:rPr>
        <w:t>铂</w:t>
      </w:r>
      <w:r>
        <w:rPr>
          <w:rFonts w:hint="default" w:ascii="Times New Roman" w:hAnsi="Times New Roman" w:cs="Times New Roman"/>
          <w:highlight w:val="none"/>
        </w:rPr>
        <w:t>期货合约的最后交易日为合约月份的第10个交易日。</w:t>
      </w:r>
    </w:p>
    <w:p>
      <w:pPr>
        <w:keepNext w:val="0"/>
        <w:keepLines w:val="0"/>
        <w:pageBreakBefore w:val="0"/>
        <w:widowControl w:val="0"/>
        <w:numPr>
          <w:ilvl w:val="0"/>
          <w:numId w:val="2"/>
        </w:numPr>
        <w:kinsoku/>
        <w:wordWrap/>
        <w:overflowPunct/>
        <w:topLinePunct w:val="0"/>
        <w:autoSpaceDE/>
        <w:autoSpaceDN/>
        <w:bidi w:val="0"/>
        <w:adjustRightInd/>
        <w:snapToGrid/>
        <w:ind w:left="0" w:leftChars="0" w:firstLine="640" w:firstLineChars="200"/>
        <w:textAlignment w:val="auto"/>
        <w:rPr>
          <w:rFonts w:hint="default" w:ascii="Times New Roman" w:hAnsi="Times New Roman" w:cs="Times New Roman"/>
          <w:highlight w:val="none"/>
        </w:rPr>
      </w:pPr>
      <w:r>
        <w:rPr>
          <w:rFonts w:hint="default" w:ascii="Times New Roman" w:hAnsi="Times New Roman" w:cs="Times New Roman"/>
          <w:highlight w:val="none"/>
          <w:lang w:val="en-US" w:eastAsia="zh-CN"/>
        </w:rPr>
        <w:t>铂</w:t>
      </w:r>
      <w:r>
        <w:rPr>
          <w:rFonts w:hint="default" w:ascii="Times New Roman" w:hAnsi="Times New Roman" w:cs="Times New Roman"/>
          <w:highlight w:val="none"/>
        </w:rPr>
        <w:t>期货合约的最后交割日为最后交易日后的第3个交易日。</w:t>
      </w:r>
    </w:p>
    <w:p>
      <w:pPr>
        <w:keepNext w:val="0"/>
        <w:keepLines w:val="0"/>
        <w:pageBreakBefore w:val="0"/>
        <w:widowControl w:val="0"/>
        <w:numPr>
          <w:ilvl w:val="0"/>
          <w:numId w:val="2"/>
        </w:numPr>
        <w:kinsoku/>
        <w:wordWrap/>
        <w:overflowPunct/>
        <w:topLinePunct w:val="0"/>
        <w:autoSpaceDE/>
        <w:autoSpaceDN/>
        <w:bidi w:val="0"/>
        <w:adjustRightInd/>
        <w:snapToGrid/>
        <w:ind w:left="0" w:leftChars="0" w:firstLine="640" w:firstLineChars="200"/>
        <w:textAlignment w:val="auto"/>
        <w:rPr>
          <w:rFonts w:hint="default" w:ascii="Times New Roman" w:hAnsi="Times New Roman" w:cs="Times New Roman"/>
          <w:highlight w:val="none"/>
        </w:rPr>
      </w:pPr>
      <w:r>
        <w:rPr>
          <w:rFonts w:hint="default" w:ascii="Times New Roman" w:hAnsi="Times New Roman" w:cs="Times New Roman"/>
          <w:highlight w:val="none"/>
          <w:lang w:val="en-US" w:eastAsia="zh-CN"/>
        </w:rPr>
        <w:t>铂</w:t>
      </w:r>
      <w:r>
        <w:rPr>
          <w:rFonts w:hint="default" w:ascii="Times New Roman" w:hAnsi="Times New Roman" w:cs="Times New Roman"/>
          <w:highlight w:val="none"/>
        </w:rPr>
        <w:t>期货合约的交易代码为</w:t>
      </w:r>
      <w:r>
        <w:rPr>
          <w:rFonts w:hint="default" w:ascii="Times New Roman" w:hAnsi="Times New Roman" w:cs="Times New Roman"/>
          <w:highlight w:val="none"/>
          <w:lang w:val="en-US" w:eastAsia="zh-CN"/>
        </w:rPr>
        <w:t>PT</w:t>
      </w:r>
      <w:r>
        <w:rPr>
          <w:rFonts w:hint="default" w:ascii="Times New Roman" w:hAnsi="Times New Roman" w:cs="Times New Roman"/>
          <w:highlight w:val="none"/>
        </w:rPr>
        <w:t>。</w:t>
      </w:r>
    </w:p>
    <w:p>
      <w:pPr>
        <w:keepNext w:val="0"/>
        <w:keepLines w:val="0"/>
        <w:pageBreakBefore w:val="0"/>
        <w:widowControl w:val="0"/>
        <w:numPr>
          <w:ilvl w:val="0"/>
          <w:numId w:val="2"/>
        </w:numPr>
        <w:kinsoku/>
        <w:wordWrap/>
        <w:overflowPunct/>
        <w:topLinePunct w:val="0"/>
        <w:autoSpaceDE/>
        <w:autoSpaceDN/>
        <w:bidi w:val="0"/>
        <w:adjustRightInd/>
        <w:snapToGrid/>
        <w:ind w:left="0" w:leftChars="0" w:firstLine="640" w:firstLineChars="200"/>
        <w:textAlignment w:val="auto"/>
        <w:rPr>
          <w:rFonts w:hint="default" w:ascii="Times New Roman" w:hAnsi="Times New Roman" w:cs="Times New Roman"/>
          <w:highlight w:val="none"/>
        </w:rPr>
      </w:pPr>
      <w:r>
        <w:rPr>
          <w:rFonts w:hint="default" w:ascii="Times New Roman" w:hAnsi="Times New Roman" w:cs="Times New Roman"/>
          <w:highlight w:val="none"/>
          <w:lang w:val="en-US" w:eastAsia="zh-CN"/>
        </w:rPr>
        <w:t>铂</w:t>
      </w:r>
      <w:r>
        <w:rPr>
          <w:rFonts w:hint="default" w:ascii="Times New Roman" w:hAnsi="Times New Roman" w:cs="Times New Roman"/>
          <w:highlight w:val="none"/>
        </w:rPr>
        <w:t>期货合约当日结算价是指期货合约当日成交价格按照成交量的加权平均价。</w:t>
      </w:r>
    </w:p>
    <w:p>
      <w:pPr>
        <w:pStyle w:val="2"/>
        <w:rPr>
          <w:rFonts w:hint="default"/>
        </w:rPr>
      </w:pPr>
    </w:p>
    <w:p>
      <w:pPr>
        <w:bidi w:val="0"/>
        <w:ind w:left="0" w:leftChars="0" w:firstLine="0" w:firstLineChars="0"/>
        <w:jc w:val="center"/>
        <w:rPr>
          <w:rFonts w:hint="default" w:ascii="Times New Roman" w:hAnsi="Times New Roman" w:eastAsia="黑体" w:cs="Times New Roman"/>
          <w:highlight w:val="none"/>
        </w:rPr>
      </w:pPr>
      <w:r>
        <w:rPr>
          <w:rFonts w:hint="default" w:ascii="Times New Roman" w:hAnsi="Times New Roman" w:eastAsia="黑体" w:cs="Times New Roman"/>
          <w:highlight w:val="none"/>
        </w:rPr>
        <w:t>第二节</w:t>
      </w:r>
      <w:r>
        <w:rPr>
          <w:rFonts w:hint="default" w:ascii="Times New Roman" w:hAnsi="Times New Roman" w:eastAsia="黑体" w:cs="Times New Roman"/>
          <w:highlight w:val="none"/>
          <w:lang w:val="en-US" w:eastAsia="zh-CN"/>
        </w:rPr>
        <w:t xml:space="preserve"> </w:t>
      </w:r>
      <w:r>
        <w:rPr>
          <w:rFonts w:hint="default" w:ascii="Times New Roman" w:hAnsi="Times New Roman" w:eastAsia="黑体" w:cs="Times New Roman"/>
          <w:highlight w:val="none"/>
        </w:rPr>
        <w:t>期权合约</w:t>
      </w:r>
    </w:p>
    <w:p>
      <w:pPr>
        <w:keepNext w:val="0"/>
        <w:keepLines w:val="0"/>
        <w:pageBreakBefore w:val="0"/>
        <w:widowControl w:val="0"/>
        <w:numPr>
          <w:ilvl w:val="0"/>
          <w:numId w:val="2"/>
        </w:numPr>
        <w:kinsoku/>
        <w:wordWrap/>
        <w:overflowPunct/>
        <w:topLinePunct w:val="0"/>
        <w:autoSpaceDE/>
        <w:autoSpaceDN/>
        <w:bidi w:val="0"/>
        <w:adjustRightInd/>
        <w:snapToGrid/>
        <w:ind w:left="0" w:leftChars="0" w:firstLine="640" w:firstLineChars="200"/>
        <w:textAlignment w:val="auto"/>
        <w:rPr>
          <w:rFonts w:hint="default" w:ascii="Times New Roman" w:hAnsi="Times New Roman" w:cs="Times New Roman"/>
          <w:highlight w:val="none"/>
        </w:rPr>
      </w:pPr>
      <w:r>
        <w:rPr>
          <w:rFonts w:hint="default" w:ascii="Times New Roman" w:hAnsi="Times New Roman" w:cs="Times New Roman"/>
          <w:highlight w:val="none"/>
          <w:lang w:val="en-US" w:eastAsia="zh-CN"/>
        </w:rPr>
        <w:t>铂</w:t>
      </w:r>
      <w:r>
        <w:rPr>
          <w:rFonts w:hint="default" w:ascii="Times New Roman" w:hAnsi="Times New Roman" w:cs="Times New Roman"/>
          <w:highlight w:val="none"/>
        </w:rPr>
        <w:t>期权合约的标的物为</w:t>
      </w:r>
      <w:r>
        <w:rPr>
          <w:rFonts w:hint="default" w:ascii="Times New Roman" w:hAnsi="Times New Roman" w:cs="Times New Roman"/>
          <w:highlight w:val="none"/>
          <w:lang w:val="en-US" w:eastAsia="zh-CN"/>
        </w:rPr>
        <w:t>铂</w:t>
      </w:r>
      <w:r>
        <w:rPr>
          <w:rFonts w:hint="default" w:ascii="Times New Roman" w:hAnsi="Times New Roman" w:cs="Times New Roman"/>
          <w:highlight w:val="none"/>
        </w:rPr>
        <w:t>期货合约。</w:t>
      </w:r>
    </w:p>
    <w:p>
      <w:pPr>
        <w:keepNext w:val="0"/>
        <w:keepLines w:val="0"/>
        <w:pageBreakBefore w:val="0"/>
        <w:widowControl w:val="0"/>
        <w:numPr>
          <w:ilvl w:val="0"/>
          <w:numId w:val="2"/>
        </w:numPr>
        <w:kinsoku/>
        <w:wordWrap/>
        <w:overflowPunct/>
        <w:topLinePunct w:val="0"/>
        <w:autoSpaceDE/>
        <w:autoSpaceDN/>
        <w:bidi w:val="0"/>
        <w:adjustRightInd/>
        <w:snapToGrid/>
        <w:ind w:left="0" w:leftChars="0" w:firstLine="640" w:firstLineChars="200"/>
        <w:textAlignment w:val="auto"/>
        <w:rPr>
          <w:rFonts w:hint="default" w:ascii="Times New Roman" w:hAnsi="Times New Roman" w:cs="Times New Roman"/>
          <w:highlight w:val="none"/>
        </w:rPr>
      </w:pPr>
      <w:r>
        <w:rPr>
          <w:rFonts w:hint="default" w:ascii="Times New Roman" w:hAnsi="Times New Roman" w:cs="Times New Roman"/>
          <w:b w:val="0"/>
          <w:bCs w:val="0"/>
          <w:highlight w:val="none"/>
          <w:lang w:val="en-US" w:eastAsia="zh-CN"/>
        </w:rPr>
        <w:t>铂</w:t>
      </w:r>
      <w:r>
        <w:rPr>
          <w:rFonts w:hint="default" w:ascii="Times New Roman" w:hAnsi="Times New Roman" w:cs="Times New Roman"/>
          <w:highlight w:val="none"/>
        </w:rPr>
        <w:t>期权合约交易代码为</w:t>
      </w:r>
      <w:r>
        <w:rPr>
          <w:rFonts w:hint="default" w:ascii="Times New Roman" w:hAnsi="Times New Roman" w:cs="Times New Roman"/>
          <w:highlight w:val="none"/>
          <w:lang w:val="en-US" w:eastAsia="zh-CN"/>
        </w:rPr>
        <w:t>PT</w:t>
      </w:r>
      <w:r>
        <w:rPr>
          <w:rFonts w:hint="default" w:ascii="Times New Roman" w:hAnsi="Times New Roman" w:cs="Times New Roman"/>
          <w:highlight w:val="none"/>
        </w:rPr>
        <w:t>－合约月份－C/P－行权价格，其中，</w:t>
      </w:r>
      <w:r>
        <w:rPr>
          <w:rFonts w:hint="default" w:ascii="Times New Roman" w:hAnsi="Times New Roman" w:cs="Times New Roman"/>
          <w:highlight w:val="none"/>
          <w:lang w:val="en-US" w:eastAsia="zh-CN"/>
        </w:rPr>
        <w:t>PT</w:t>
      </w:r>
      <w:r>
        <w:rPr>
          <w:rFonts w:hint="default" w:ascii="Times New Roman" w:hAnsi="Times New Roman" w:cs="Times New Roman"/>
          <w:highlight w:val="none"/>
        </w:rPr>
        <w:t>是</w:t>
      </w:r>
      <w:r>
        <w:rPr>
          <w:rFonts w:hint="default" w:ascii="Times New Roman" w:hAnsi="Times New Roman" w:cs="Times New Roman"/>
          <w:highlight w:val="none"/>
          <w:lang w:val="en-US" w:eastAsia="zh-CN"/>
        </w:rPr>
        <w:t>铂</w:t>
      </w:r>
      <w:r>
        <w:rPr>
          <w:rFonts w:hint="default" w:ascii="Times New Roman" w:hAnsi="Times New Roman" w:cs="Times New Roman"/>
          <w:highlight w:val="none"/>
        </w:rPr>
        <w:t>期货的代码，C和P分别代表看涨期权和看跌期权的合约类型代码。</w:t>
      </w:r>
    </w:p>
    <w:p>
      <w:pPr>
        <w:keepNext w:val="0"/>
        <w:keepLines w:val="0"/>
        <w:pageBreakBefore w:val="0"/>
        <w:widowControl w:val="0"/>
        <w:numPr>
          <w:ilvl w:val="0"/>
          <w:numId w:val="2"/>
        </w:numPr>
        <w:kinsoku/>
        <w:wordWrap/>
        <w:overflowPunct/>
        <w:topLinePunct w:val="0"/>
        <w:autoSpaceDE/>
        <w:autoSpaceDN/>
        <w:bidi w:val="0"/>
        <w:adjustRightInd/>
        <w:snapToGrid/>
        <w:ind w:left="0" w:leftChars="0" w:firstLine="640" w:firstLineChars="200"/>
        <w:textAlignment w:val="auto"/>
        <w:rPr>
          <w:rFonts w:hint="default" w:ascii="Times New Roman" w:hAnsi="Times New Roman" w:cs="Times New Roman"/>
          <w:highlight w:val="none"/>
        </w:rPr>
      </w:pPr>
      <w:r>
        <w:rPr>
          <w:rFonts w:hint="default" w:ascii="Times New Roman" w:hAnsi="Times New Roman" w:cs="Times New Roman"/>
          <w:b w:val="0"/>
          <w:bCs w:val="0"/>
          <w:highlight w:val="none"/>
          <w:lang w:val="en-US" w:eastAsia="zh-CN"/>
        </w:rPr>
        <w:t>铂</w:t>
      </w:r>
      <w:r>
        <w:rPr>
          <w:rFonts w:hint="default" w:ascii="Times New Roman" w:hAnsi="Times New Roman" w:cs="Times New Roman"/>
          <w:highlight w:val="none"/>
        </w:rPr>
        <w:t>期权合约的交易单位为1手（</w:t>
      </w:r>
      <w:r>
        <w:rPr>
          <w:rFonts w:hint="default" w:ascii="Times New Roman" w:hAnsi="Times New Roman" w:cs="Times New Roman"/>
          <w:highlight w:val="none"/>
          <w:lang w:val="en-US" w:eastAsia="zh-CN"/>
        </w:rPr>
        <w:t>1000克</w:t>
      </w:r>
      <w:r>
        <w:rPr>
          <w:rFonts w:hint="default" w:ascii="Times New Roman" w:hAnsi="Times New Roman" w:cs="Times New Roman"/>
          <w:highlight w:val="none"/>
        </w:rPr>
        <w:t>）</w:t>
      </w:r>
      <w:r>
        <w:rPr>
          <w:rFonts w:hint="default" w:ascii="Times New Roman" w:hAnsi="Times New Roman" w:cs="Times New Roman"/>
          <w:highlight w:val="none"/>
          <w:lang w:val="en-US" w:eastAsia="zh-CN"/>
        </w:rPr>
        <w:t>铂</w:t>
      </w:r>
      <w:r>
        <w:rPr>
          <w:rFonts w:hint="default" w:ascii="Times New Roman" w:hAnsi="Times New Roman" w:cs="Times New Roman"/>
          <w:highlight w:val="none"/>
        </w:rPr>
        <w:t>期货合约。</w:t>
      </w:r>
    </w:p>
    <w:p>
      <w:pPr>
        <w:keepNext w:val="0"/>
        <w:keepLines w:val="0"/>
        <w:pageBreakBefore w:val="0"/>
        <w:widowControl w:val="0"/>
        <w:numPr>
          <w:ilvl w:val="0"/>
          <w:numId w:val="2"/>
        </w:numPr>
        <w:kinsoku/>
        <w:wordWrap/>
        <w:overflowPunct/>
        <w:topLinePunct w:val="0"/>
        <w:autoSpaceDE/>
        <w:autoSpaceDN/>
        <w:bidi w:val="0"/>
        <w:adjustRightInd/>
        <w:snapToGrid/>
        <w:ind w:left="0" w:leftChars="0" w:firstLine="640" w:firstLineChars="200"/>
        <w:textAlignment w:val="auto"/>
        <w:rPr>
          <w:rFonts w:hint="default" w:ascii="Times New Roman" w:hAnsi="Times New Roman" w:cs="Times New Roman"/>
          <w:highlight w:val="none"/>
        </w:rPr>
      </w:pPr>
      <w:r>
        <w:rPr>
          <w:rFonts w:hint="default" w:ascii="Times New Roman" w:hAnsi="Times New Roman" w:cs="Times New Roman"/>
          <w:highlight w:val="none"/>
          <w:lang w:val="en-US" w:eastAsia="zh-CN"/>
        </w:rPr>
        <w:t>铂</w:t>
      </w:r>
      <w:r>
        <w:rPr>
          <w:rFonts w:hint="default" w:ascii="Times New Roman" w:hAnsi="Times New Roman" w:cs="Times New Roman"/>
          <w:highlight w:val="none"/>
        </w:rPr>
        <w:t>期权合约的报价单位为元（人民币）/</w:t>
      </w:r>
      <w:r>
        <w:rPr>
          <w:rFonts w:hint="default" w:ascii="Times New Roman" w:hAnsi="Times New Roman" w:cs="Times New Roman"/>
          <w:highlight w:val="none"/>
          <w:lang w:eastAsia="zh-CN"/>
        </w:rPr>
        <w:t>克</w:t>
      </w:r>
      <w:r>
        <w:rPr>
          <w:rFonts w:hint="default" w:ascii="Times New Roman" w:hAnsi="Times New Roman" w:cs="Times New Roman"/>
          <w:highlight w:val="none"/>
        </w:rPr>
        <w:t>。</w:t>
      </w:r>
    </w:p>
    <w:p>
      <w:pPr>
        <w:keepNext w:val="0"/>
        <w:keepLines w:val="0"/>
        <w:pageBreakBefore w:val="0"/>
        <w:widowControl w:val="0"/>
        <w:numPr>
          <w:ilvl w:val="0"/>
          <w:numId w:val="2"/>
        </w:numPr>
        <w:kinsoku/>
        <w:wordWrap/>
        <w:overflowPunct/>
        <w:topLinePunct w:val="0"/>
        <w:autoSpaceDE/>
        <w:autoSpaceDN/>
        <w:bidi w:val="0"/>
        <w:adjustRightInd/>
        <w:snapToGrid/>
        <w:ind w:left="0" w:leftChars="0" w:firstLine="640" w:firstLineChars="200"/>
        <w:textAlignment w:val="auto"/>
        <w:rPr>
          <w:rFonts w:hint="default" w:ascii="Times New Roman" w:hAnsi="Times New Roman" w:cs="Times New Roman"/>
          <w:highlight w:val="none"/>
        </w:rPr>
      </w:pPr>
      <w:r>
        <w:rPr>
          <w:rFonts w:hint="default" w:ascii="Times New Roman" w:hAnsi="Times New Roman" w:cs="Times New Roman"/>
          <w:highlight w:val="none"/>
          <w:lang w:val="en-US" w:eastAsia="zh-CN"/>
        </w:rPr>
        <w:t>铂</w:t>
      </w:r>
      <w:r>
        <w:rPr>
          <w:rFonts w:hint="default" w:ascii="Times New Roman" w:hAnsi="Times New Roman" w:cs="Times New Roman"/>
          <w:highlight w:val="none"/>
        </w:rPr>
        <w:t>期权合约的最小变动价位为</w:t>
      </w:r>
      <w:r>
        <w:rPr>
          <w:rFonts w:hint="default" w:ascii="Times New Roman" w:hAnsi="Times New Roman" w:cs="Times New Roman"/>
          <w:highlight w:val="none"/>
          <w:lang w:val="en-US" w:eastAsia="zh-CN"/>
        </w:rPr>
        <w:t>0.05</w:t>
      </w:r>
      <w:r>
        <w:rPr>
          <w:rFonts w:hint="default" w:ascii="Times New Roman" w:hAnsi="Times New Roman" w:cs="Times New Roman"/>
          <w:highlight w:val="none"/>
        </w:rPr>
        <w:t>元/</w:t>
      </w:r>
      <w:r>
        <w:rPr>
          <w:rFonts w:hint="default" w:ascii="Times New Roman" w:hAnsi="Times New Roman" w:cs="Times New Roman"/>
          <w:highlight w:val="none"/>
          <w:lang w:val="en-US" w:eastAsia="zh-CN"/>
        </w:rPr>
        <w:t>克</w:t>
      </w:r>
      <w:r>
        <w:rPr>
          <w:rFonts w:hint="default" w:ascii="Times New Roman" w:hAnsi="Times New Roman" w:cs="Times New Roman"/>
          <w:highlight w:val="none"/>
        </w:rPr>
        <w:t>。</w:t>
      </w:r>
    </w:p>
    <w:p>
      <w:pPr>
        <w:keepNext w:val="0"/>
        <w:keepLines w:val="0"/>
        <w:pageBreakBefore w:val="0"/>
        <w:widowControl w:val="0"/>
        <w:numPr>
          <w:ilvl w:val="0"/>
          <w:numId w:val="2"/>
        </w:numPr>
        <w:kinsoku/>
        <w:wordWrap/>
        <w:overflowPunct/>
        <w:topLinePunct w:val="0"/>
        <w:autoSpaceDE/>
        <w:autoSpaceDN/>
        <w:bidi w:val="0"/>
        <w:adjustRightInd/>
        <w:snapToGrid/>
        <w:ind w:left="0" w:leftChars="0" w:firstLine="640" w:firstLineChars="200"/>
        <w:textAlignment w:val="auto"/>
        <w:rPr>
          <w:rFonts w:hint="default" w:ascii="Times New Roman" w:hAnsi="Times New Roman" w:cs="Times New Roman"/>
          <w:highlight w:val="none"/>
        </w:rPr>
      </w:pPr>
      <w:r>
        <w:rPr>
          <w:rFonts w:hint="default" w:ascii="Times New Roman" w:hAnsi="Times New Roman" w:cs="Times New Roman"/>
          <w:highlight w:val="none"/>
          <w:lang w:val="en-US" w:eastAsia="zh-CN"/>
        </w:rPr>
        <w:t>铂</w:t>
      </w:r>
      <w:r>
        <w:rPr>
          <w:rFonts w:hint="default" w:ascii="Times New Roman" w:hAnsi="Times New Roman" w:cs="Times New Roman"/>
          <w:highlight w:val="none"/>
        </w:rPr>
        <w:t>期权合约行权方式为美式，买方在合约到期日及其之前任一交易日均可行使权利。</w:t>
      </w:r>
    </w:p>
    <w:p>
      <w:pPr>
        <w:keepNext w:val="0"/>
        <w:keepLines w:val="0"/>
        <w:pageBreakBefore w:val="0"/>
        <w:widowControl w:val="0"/>
        <w:numPr>
          <w:ilvl w:val="0"/>
          <w:numId w:val="2"/>
        </w:numPr>
        <w:kinsoku/>
        <w:wordWrap/>
        <w:overflowPunct/>
        <w:topLinePunct w:val="0"/>
        <w:autoSpaceDE/>
        <w:autoSpaceDN/>
        <w:bidi w:val="0"/>
        <w:adjustRightInd/>
        <w:snapToGrid/>
        <w:ind w:left="0" w:leftChars="0" w:firstLine="640" w:firstLineChars="200"/>
        <w:textAlignment w:val="auto"/>
        <w:rPr>
          <w:rFonts w:hint="default" w:ascii="Times New Roman" w:hAnsi="Times New Roman" w:cs="Times New Roman"/>
          <w:highlight w:val="none"/>
        </w:rPr>
      </w:pPr>
      <w:r>
        <w:rPr>
          <w:rFonts w:hint="default" w:ascii="Times New Roman" w:hAnsi="Times New Roman" w:cs="Times New Roman"/>
          <w:highlight w:val="none"/>
          <w:lang w:val="en-US" w:eastAsia="zh-CN"/>
        </w:rPr>
        <w:t>铂</w:t>
      </w:r>
      <w:r>
        <w:rPr>
          <w:rFonts w:hint="default" w:ascii="Times New Roman" w:hAnsi="Times New Roman" w:cs="Times New Roman"/>
          <w:highlight w:val="none"/>
        </w:rPr>
        <w:t>期权合约月份为2、4、6、8、10、12月。</w:t>
      </w:r>
    </w:p>
    <w:p>
      <w:pPr>
        <w:keepNext w:val="0"/>
        <w:keepLines w:val="0"/>
        <w:pageBreakBefore w:val="0"/>
        <w:widowControl w:val="0"/>
        <w:numPr>
          <w:ilvl w:val="0"/>
          <w:numId w:val="2"/>
        </w:numPr>
        <w:kinsoku/>
        <w:wordWrap/>
        <w:overflowPunct/>
        <w:topLinePunct w:val="0"/>
        <w:autoSpaceDE/>
        <w:autoSpaceDN/>
        <w:bidi w:val="0"/>
        <w:adjustRightInd/>
        <w:snapToGrid/>
        <w:ind w:left="0" w:leftChars="0" w:firstLine="640" w:firstLineChars="200"/>
        <w:textAlignment w:val="auto"/>
        <w:rPr>
          <w:rFonts w:hint="default" w:ascii="Times New Roman" w:hAnsi="Times New Roman" w:cs="Times New Roman"/>
          <w:highlight w:val="none"/>
        </w:rPr>
      </w:pPr>
      <w:r>
        <w:rPr>
          <w:rFonts w:hint="default" w:ascii="Times New Roman" w:hAnsi="Times New Roman" w:cs="Times New Roman"/>
          <w:highlight w:val="none"/>
          <w:lang w:val="en-US" w:eastAsia="zh-CN"/>
        </w:rPr>
        <w:t>铂</w:t>
      </w:r>
      <w:r>
        <w:rPr>
          <w:rFonts w:hint="default" w:ascii="Times New Roman" w:hAnsi="Times New Roman" w:cs="Times New Roman"/>
          <w:highlight w:val="none"/>
        </w:rPr>
        <w:t>期权合约行权价格覆盖标的</w:t>
      </w:r>
      <w:r>
        <w:rPr>
          <w:rFonts w:hint="default" w:ascii="Times New Roman" w:hAnsi="Times New Roman" w:cs="Times New Roman"/>
          <w:highlight w:val="none"/>
          <w:lang w:val="en-US" w:eastAsia="zh-CN"/>
        </w:rPr>
        <w:t>铂</w:t>
      </w:r>
      <w:r>
        <w:rPr>
          <w:rFonts w:hint="default" w:ascii="Times New Roman" w:hAnsi="Times New Roman" w:cs="Times New Roman"/>
          <w:highlight w:val="none"/>
        </w:rPr>
        <w:t>期货合约上一交易日结算价上下浮动1.5倍当日涨跌停板幅度对应的价格范围。</w:t>
      </w:r>
    </w:p>
    <w:p>
      <w:pPr>
        <w:keepNext w:val="0"/>
        <w:keepLines w:val="0"/>
        <w:pageBreakBefore w:val="0"/>
        <w:widowControl w:val="0"/>
        <w:numPr>
          <w:ilvl w:val="0"/>
          <w:numId w:val="2"/>
        </w:numPr>
        <w:kinsoku/>
        <w:wordWrap/>
        <w:overflowPunct/>
        <w:topLinePunct w:val="0"/>
        <w:autoSpaceDE/>
        <w:autoSpaceDN/>
        <w:bidi w:val="0"/>
        <w:adjustRightInd/>
        <w:snapToGrid/>
        <w:ind w:left="0" w:leftChars="0" w:firstLine="640" w:firstLineChars="200"/>
        <w:textAlignment w:val="auto"/>
        <w:rPr>
          <w:rFonts w:hint="default" w:ascii="Times New Roman" w:hAnsi="Times New Roman" w:cs="Times New Roman"/>
          <w:highlight w:val="none"/>
        </w:rPr>
      </w:pPr>
      <w:r>
        <w:rPr>
          <w:rFonts w:hint="default" w:ascii="Times New Roman" w:hAnsi="Times New Roman" w:cs="Times New Roman"/>
          <w:highlight w:val="none"/>
          <w:lang w:val="en-US" w:eastAsia="zh-CN"/>
        </w:rPr>
        <w:t>铂</w:t>
      </w:r>
      <w:r>
        <w:rPr>
          <w:rFonts w:hint="default" w:ascii="Times New Roman" w:hAnsi="Times New Roman" w:cs="Times New Roman"/>
          <w:highlight w:val="none"/>
        </w:rPr>
        <w:t>期权合约的行权价格间距设置为：行权价格≤200元/克，行权价格间距为2元/克；200元/克&lt;行权价格≤400元/克，行权价格间距为4元/克；行权价格&gt;400元/克，行权价格间距为8元/克。</w:t>
      </w:r>
    </w:p>
    <w:p>
      <w:pPr>
        <w:keepNext w:val="0"/>
        <w:keepLines w:val="0"/>
        <w:pageBreakBefore w:val="0"/>
        <w:widowControl w:val="0"/>
        <w:numPr>
          <w:ilvl w:val="0"/>
          <w:numId w:val="2"/>
        </w:numPr>
        <w:kinsoku/>
        <w:wordWrap/>
        <w:overflowPunct/>
        <w:topLinePunct w:val="0"/>
        <w:autoSpaceDE/>
        <w:autoSpaceDN/>
        <w:bidi w:val="0"/>
        <w:adjustRightInd/>
        <w:snapToGrid/>
        <w:ind w:left="0" w:leftChars="0" w:firstLine="640" w:firstLineChars="200"/>
        <w:textAlignment w:val="auto"/>
        <w:rPr>
          <w:rFonts w:hint="default" w:ascii="Times New Roman" w:hAnsi="Times New Roman" w:cs="Times New Roman"/>
          <w:highlight w:val="none"/>
        </w:rPr>
      </w:pPr>
      <w:r>
        <w:rPr>
          <w:rFonts w:hint="default" w:ascii="Times New Roman" w:hAnsi="Times New Roman" w:cs="Times New Roman"/>
          <w:highlight w:val="none"/>
          <w:lang w:val="en-US" w:eastAsia="zh-CN"/>
        </w:rPr>
        <w:t>铂</w:t>
      </w:r>
      <w:r>
        <w:rPr>
          <w:rFonts w:hint="default" w:ascii="Times New Roman" w:hAnsi="Times New Roman" w:cs="Times New Roman"/>
          <w:highlight w:val="none"/>
        </w:rPr>
        <w:t>期权合约交易时间与</w:t>
      </w:r>
      <w:r>
        <w:rPr>
          <w:rFonts w:hint="default" w:ascii="Times New Roman" w:hAnsi="Times New Roman" w:cs="Times New Roman"/>
          <w:highlight w:val="none"/>
          <w:lang w:val="en-US" w:eastAsia="zh-CN"/>
        </w:rPr>
        <w:t>铂</w:t>
      </w:r>
      <w:r>
        <w:rPr>
          <w:rFonts w:hint="default" w:ascii="Times New Roman" w:hAnsi="Times New Roman" w:cs="Times New Roman"/>
          <w:highlight w:val="none"/>
        </w:rPr>
        <w:t>期货合约交易时间一致。</w:t>
      </w:r>
    </w:p>
    <w:p>
      <w:pPr>
        <w:keepNext w:val="0"/>
        <w:keepLines w:val="0"/>
        <w:pageBreakBefore w:val="0"/>
        <w:widowControl w:val="0"/>
        <w:numPr>
          <w:ilvl w:val="0"/>
          <w:numId w:val="2"/>
        </w:numPr>
        <w:kinsoku/>
        <w:wordWrap/>
        <w:overflowPunct/>
        <w:topLinePunct w:val="0"/>
        <w:autoSpaceDE/>
        <w:autoSpaceDN/>
        <w:bidi w:val="0"/>
        <w:adjustRightInd/>
        <w:snapToGrid/>
        <w:ind w:left="0" w:leftChars="0" w:firstLine="640" w:firstLineChars="200"/>
        <w:textAlignment w:val="auto"/>
        <w:rPr>
          <w:rFonts w:hint="default" w:ascii="Times New Roman" w:hAnsi="Times New Roman" w:cs="Times New Roman"/>
          <w:highlight w:val="none"/>
        </w:rPr>
      </w:pPr>
      <w:r>
        <w:rPr>
          <w:rFonts w:hint="default" w:ascii="Times New Roman" w:hAnsi="Times New Roman" w:cs="Times New Roman"/>
          <w:highlight w:val="none"/>
          <w:lang w:val="en-US" w:eastAsia="zh-CN"/>
        </w:rPr>
        <w:t>铂</w:t>
      </w:r>
      <w:r>
        <w:rPr>
          <w:rFonts w:hint="default" w:ascii="Times New Roman" w:hAnsi="Times New Roman" w:cs="Times New Roman"/>
          <w:highlight w:val="none"/>
        </w:rPr>
        <w:t>期权合约最后交易日为标的期货合约交割月份前1个月的第5个交易日。</w:t>
      </w:r>
    </w:p>
    <w:p>
      <w:pPr>
        <w:keepNext w:val="0"/>
        <w:keepLines w:val="0"/>
        <w:pageBreakBefore w:val="0"/>
        <w:widowControl w:val="0"/>
        <w:numPr>
          <w:ilvl w:val="0"/>
          <w:numId w:val="2"/>
        </w:numPr>
        <w:kinsoku/>
        <w:wordWrap/>
        <w:overflowPunct/>
        <w:topLinePunct w:val="0"/>
        <w:autoSpaceDE/>
        <w:autoSpaceDN/>
        <w:bidi w:val="0"/>
        <w:adjustRightInd/>
        <w:snapToGrid/>
        <w:ind w:left="0" w:leftChars="0" w:firstLine="640" w:firstLineChars="200"/>
        <w:textAlignment w:val="auto"/>
        <w:rPr>
          <w:rFonts w:hint="default" w:ascii="Times New Roman" w:hAnsi="Times New Roman" w:cs="Times New Roman"/>
          <w:highlight w:val="none"/>
        </w:rPr>
      </w:pPr>
      <w:r>
        <w:rPr>
          <w:rFonts w:hint="default" w:ascii="Times New Roman" w:hAnsi="Times New Roman" w:cs="Times New Roman"/>
          <w:highlight w:val="none"/>
          <w:lang w:val="en-US" w:eastAsia="zh-CN"/>
        </w:rPr>
        <w:t>铂</w:t>
      </w:r>
      <w:r>
        <w:rPr>
          <w:rFonts w:hint="default" w:ascii="Times New Roman" w:hAnsi="Times New Roman" w:cs="Times New Roman"/>
          <w:highlight w:val="none"/>
        </w:rPr>
        <w:t>期权合约的交易指令每次最大下单数量为1000手，每次最小下单数量为1手，交易所可根据市场情况进行调整并另行公告。</w:t>
      </w:r>
    </w:p>
    <w:p>
      <w:pPr>
        <w:keepNext w:val="0"/>
        <w:keepLines w:val="0"/>
        <w:pageBreakBefore w:val="0"/>
        <w:widowControl w:val="0"/>
        <w:numPr>
          <w:ilvl w:val="0"/>
          <w:numId w:val="2"/>
        </w:numPr>
        <w:kinsoku/>
        <w:wordWrap/>
        <w:overflowPunct/>
        <w:topLinePunct w:val="0"/>
        <w:autoSpaceDE/>
        <w:autoSpaceDN/>
        <w:bidi w:val="0"/>
        <w:adjustRightInd/>
        <w:snapToGrid/>
        <w:ind w:left="0" w:leftChars="0" w:firstLine="640" w:firstLineChars="200"/>
        <w:textAlignment w:val="auto"/>
        <w:rPr>
          <w:rFonts w:hint="default" w:ascii="Times New Roman" w:hAnsi="Times New Roman" w:cs="Times New Roman"/>
          <w:highlight w:val="none"/>
        </w:rPr>
      </w:pPr>
      <w:r>
        <w:rPr>
          <w:rFonts w:hint="default" w:ascii="Times New Roman" w:hAnsi="Times New Roman" w:cs="Times New Roman"/>
          <w:highlight w:val="none"/>
        </w:rPr>
        <w:t>非期货公司会员、境外特殊非经纪参与者、客户持有的</w:t>
      </w:r>
      <w:r>
        <w:rPr>
          <w:rFonts w:hint="default" w:ascii="Times New Roman" w:hAnsi="Times New Roman" w:cs="Times New Roman"/>
          <w:highlight w:val="none"/>
          <w:lang w:val="en-US" w:eastAsia="zh-CN"/>
        </w:rPr>
        <w:t>铂</w:t>
      </w:r>
      <w:r>
        <w:rPr>
          <w:rFonts w:hint="default" w:ascii="Times New Roman" w:hAnsi="Times New Roman" w:cs="Times New Roman"/>
          <w:highlight w:val="none"/>
        </w:rPr>
        <w:t>期权某月份期权合约中所有看涨期权的买持仓量和看跌期权的卖持仓量之和、看跌期权的买持仓量和看涨期权的卖持仓量之和，分别不得超过</w:t>
      </w:r>
      <w:r>
        <w:rPr>
          <w:rFonts w:hint="default" w:ascii="Times New Roman" w:hAnsi="Times New Roman" w:cs="Times New Roman"/>
          <w:highlight w:val="none"/>
          <w:lang w:val="en-US" w:eastAsia="zh-CN"/>
        </w:rPr>
        <w:t>600</w:t>
      </w:r>
      <w:r>
        <w:rPr>
          <w:rFonts w:hint="default" w:ascii="Times New Roman" w:hAnsi="Times New Roman" w:cs="Times New Roman"/>
          <w:highlight w:val="none"/>
        </w:rPr>
        <w:t>手。</w:t>
      </w:r>
    </w:p>
    <w:p>
      <w:pPr>
        <w:keepNext w:val="0"/>
        <w:keepLines w:val="0"/>
        <w:pageBreakBefore w:val="0"/>
        <w:widowControl w:val="0"/>
        <w:numPr>
          <w:ilvl w:val="0"/>
          <w:numId w:val="2"/>
        </w:numPr>
        <w:kinsoku/>
        <w:wordWrap/>
        <w:overflowPunct/>
        <w:topLinePunct w:val="0"/>
        <w:autoSpaceDE/>
        <w:autoSpaceDN/>
        <w:bidi w:val="0"/>
        <w:adjustRightInd/>
        <w:snapToGrid/>
        <w:ind w:left="0" w:leftChars="0" w:firstLine="640" w:firstLineChars="200"/>
        <w:textAlignment w:val="auto"/>
        <w:rPr>
          <w:rFonts w:hint="default" w:ascii="Times New Roman" w:hAnsi="Times New Roman" w:cs="Times New Roman"/>
          <w:highlight w:val="none"/>
        </w:rPr>
      </w:pPr>
      <w:r>
        <w:rPr>
          <w:rFonts w:hint="default" w:ascii="Times New Roman" w:hAnsi="Times New Roman" w:cs="Times New Roman"/>
          <w:highlight w:val="none"/>
        </w:rPr>
        <w:t>非期货公司会员、境外特殊非经纪参与者、客户</w:t>
      </w:r>
      <w:r>
        <w:rPr>
          <w:rFonts w:hint="default" w:ascii="Times New Roman" w:hAnsi="Times New Roman" w:cs="Times New Roman"/>
          <w:highlight w:val="none"/>
          <w:lang w:val="en-US" w:eastAsia="zh-CN"/>
        </w:rPr>
        <w:t>铂</w:t>
      </w:r>
      <w:r>
        <w:rPr>
          <w:rFonts w:hint="default" w:ascii="Times New Roman" w:hAnsi="Times New Roman" w:cs="Times New Roman"/>
          <w:highlight w:val="none"/>
        </w:rPr>
        <w:t>期权合约大户报告标准为交易所对其规定的持仓限额的80%（含本数）。</w:t>
      </w:r>
    </w:p>
    <w:p>
      <w:pPr>
        <w:keepNext w:val="0"/>
        <w:keepLines w:val="0"/>
        <w:pageBreakBefore w:val="0"/>
        <w:widowControl w:val="0"/>
        <w:numPr>
          <w:ilvl w:val="0"/>
          <w:numId w:val="2"/>
        </w:numPr>
        <w:kinsoku/>
        <w:wordWrap/>
        <w:overflowPunct/>
        <w:topLinePunct w:val="0"/>
        <w:autoSpaceDE/>
        <w:autoSpaceDN/>
        <w:bidi w:val="0"/>
        <w:adjustRightInd/>
        <w:snapToGrid/>
        <w:ind w:left="0" w:leftChars="0" w:firstLine="640" w:firstLineChars="200"/>
        <w:textAlignment w:val="auto"/>
        <w:rPr>
          <w:rFonts w:hint="default" w:ascii="Times New Roman" w:hAnsi="Times New Roman" w:cs="Times New Roman"/>
          <w:highlight w:val="none"/>
        </w:rPr>
      </w:pPr>
      <w:r>
        <w:rPr>
          <w:rFonts w:hint="default" w:ascii="Times New Roman" w:hAnsi="Times New Roman" w:cs="Times New Roman"/>
          <w:highlight w:val="none"/>
        </w:rPr>
        <w:t>其他交易、结算、风控措施具体参照《广州期货交易所交易管理办法》《广州期货交易所结算管理办法》《广州期货交易所风险管理办法》等有关规定。</w:t>
      </w:r>
    </w:p>
    <w:p>
      <w:pPr>
        <w:pStyle w:val="2"/>
        <w:rPr>
          <w:rFonts w:hint="default"/>
        </w:rPr>
      </w:pPr>
    </w:p>
    <w:p>
      <w:pPr>
        <w:bidi w:val="0"/>
        <w:ind w:left="0" w:leftChars="0" w:firstLine="0" w:firstLineChars="0"/>
        <w:jc w:val="center"/>
        <w:rPr>
          <w:rFonts w:hint="default" w:ascii="Times New Roman" w:hAnsi="Times New Roman" w:eastAsia="黑体" w:cs="Times New Roman"/>
          <w:highlight w:val="none"/>
        </w:rPr>
      </w:pPr>
      <w:r>
        <w:rPr>
          <w:rFonts w:hint="default" w:ascii="Times New Roman" w:hAnsi="Times New Roman" w:eastAsia="黑体" w:cs="Times New Roman"/>
          <w:highlight w:val="none"/>
        </w:rPr>
        <w:t>第三章</w:t>
      </w:r>
      <w:r>
        <w:rPr>
          <w:rFonts w:hint="default" w:ascii="Times New Roman" w:hAnsi="Times New Roman" w:eastAsia="黑体" w:cs="Times New Roman"/>
          <w:highlight w:val="none"/>
          <w:lang w:val="en-US" w:eastAsia="zh-CN"/>
        </w:rPr>
        <w:t xml:space="preserve"> </w:t>
      </w:r>
      <w:r>
        <w:rPr>
          <w:rFonts w:hint="default" w:ascii="Times New Roman" w:hAnsi="Times New Roman" w:eastAsia="黑体" w:cs="Times New Roman"/>
          <w:highlight w:val="none"/>
        </w:rPr>
        <w:t>交割业务</w:t>
      </w:r>
    </w:p>
    <w:p>
      <w:pPr>
        <w:bidi w:val="0"/>
        <w:ind w:left="0" w:leftChars="0" w:firstLine="0" w:firstLineChars="0"/>
        <w:jc w:val="center"/>
        <w:rPr>
          <w:rFonts w:hint="default" w:ascii="Times New Roman" w:hAnsi="Times New Roman" w:eastAsia="黑体" w:cs="Times New Roman"/>
          <w:highlight w:val="none"/>
        </w:rPr>
      </w:pPr>
      <w:r>
        <w:rPr>
          <w:rFonts w:hint="default" w:ascii="Times New Roman" w:hAnsi="Times New Roman" w:eastAsia="黑体" w:cs="Times New Roman"/>
          <w:highlight w:val="none"/>
        </w:rPr>
        <w:t>第一节</w:t>
      </w:r>
      <w:r>
        <w:rPr>
          <w:rFonts w:hint="default" w:ascii="Times New Roman" w:hAnsi="Times New Roman" w:eastAsia="黑体" w:cs="Times New Roman"/>
          <w:highlight w:val="none"/>
          <w:lang w:val="en-US" w:eastAsia="zh-CN"/>
        </w:rPr>
        <w:t xml:space="preserve"> </w:t>
      </w:r>
      <w:r>
        <w:rPr>
          <w:rFonts w:hint="default" w:ascii="Times New Roman" w:hAnsi="Times New Roman" w:eastAsia="黑体" w:cs="Times New Roman"/>
          <w:highlight w:val="none"/>
        </w:rPr>
        <w:t>一般规定</w:t>
      </w:r>
    </w:p>
    <w:p>
      <w:pPr>
        <w:keepNext w:val="0"/>
        <w:keepLines w:val="0"/>
        <w:pageBreakBefore w:val="0"/>
        <w:widowControl w:val="0"/>
        <w:numPr>
          <w:ilvl w:val="0"/>
          <w:numId w:val="2"/>
        </w:numPr>
        <w:kinsoku/>
        <w:wordWrap/>
        <w:overflowPunct/>
        <w:topLinePunct w:val="0"/>
        <w:autoSpaceDE/>
        <w:autoSpaceDN/>
        <w:bidi w:val="0"/>
        <w:adjustRightInd/>
        <w:snapToGrid/>
        <w:ind w:left="0" w:leftChars="0" w:firstLine="640" w:firstLineChars="200"/>
        <w:textAlignment w:val="auto"/>
        <w:rPr>
          <w:rFonts w:hint="default" w:ascii="Times New Roman" w:hAnsi="Times New Roman" w:cs="Times New Roman"/>
          <w:highlight w:val="none"/>
        </w:rPr>
      </w:pPr>
      <w:r>
        <w:rPr>
          <w:rFonts w:hint="default" w:ascii="Times New Roman" w:hAnsi="Times New Roman" w:cs="Times New Roman"/>
          <w:highlight w:val="none"/>
          <w:lang w:val="en-US" w:eastAsia="zh-CN"/>
        </w:rPr>
        <w:t>铂</w:t>
      </w:r>
      <w:r>
        <w:rPr>
          <w:rFonts w:hint="default" w:ascii="Times New Roman" w:hAnsi="Times New Roman" w:cs="Times New Roman"/>
          <w:highlight w:val="none"/>
        </w:rPr>
        <w:t>期货合约适用期货转现货（以下简称期转现）、滚动交割和一次性交割。具体交割流程按照《广州期货交易所交割管理办法》《广州期货交易所结算管理办法》及本细则相关规定执行。</w:t>
      </w:r>
    </w:p>
    <w:p>
      <w:pPr>
        <w:keepNext w:val="0"/>
        <w:keepLines w:val="0"/>
        <w:pageBreakBefore w:val="0"/>
        <w:widowControl w:val="0"/>
        <w:numPr>
          <w:ilvl w:val="0"/>
          <w:numId w:val="2"/>
        </w:numPr>
        <w:kinsoku/>
        <w:wordWrap/>
        <w:overflowPunct/>
        <w:topLinePunct w:val="0"/>
        <w:autoSpaceDE/>
        <w:autoSpaceDN/>
        <w:bidi w:val="0"/>
        <w:adjustRightInd/>
        <w:snapToGrid/>
        <w:ind w:left="0" w:leftChars="0" w:firstLine="640" w:firstLineChars="200"/>
        <w:textAlignment w:val="auto"/>
        <w:rPr>
          <w:rFonts w:hint="default" w:ascii="Times New Roman" w:hAnsi="Times New Roman" w:cs="Times New Roman"/>
          <w:highlight w:val="none"/>
        </w:rPr>
      </w:pPr>
      <w:r>
        <w:rPr>
          <w:rFonts w:hint="default" w:ascii="Times New Roman" w:hAnsi="Times New Roman" w:cs="Times New Roman"/>
          <w:b w:val="0"/>
          <w:bCs w:val="0"/>
          <w:highlight w:val="none"/>
          <w:lang w:val="en-US" w:eastAsia="zh-CN"/>
        </w:rPr>
        <w:t>铂</w:t>
      </w:r>
      <w:r>
        <w:rPr>
          <w:rFonts w:hint="default" w:ascii="Times New Roman" w:hAnsi="Times New Roman" w:cs="Times New Roman"/>
          <w:highlight w:val="none"/>
        </w:rPr>
        <w:t>期货合约采用实物交割，交割单位为</w:t>
      </w:r>
      <w:r>
        <w:rPr>
          <w:rFonts w:hint="default" w:ascii="Times New Roman" w:hAnsi="Times New Roman" w:cs="Times New Roman"/>
          <w:highlight w:val="none"/>
          <w:lang w:val="en-US" w:eastAsia="zh-CN"/>
        </w:rPr>
        <w:t>1000克</w:t>
      </w:r>
      <w:r>
        <w:rPr>
          <w:rFonts w:hint="default" w:ascii="Times New Roman" w:hAnsi="Times New Roman" w:cs="Times New Roman"/>
          <w:highlight w:val="none"/>
        </w:rPr>
        <w:t>（净重）。</w:t>
      </w:r>
    </w:p>
    <w:p>
      <w:pPr>
        <w:keepNext w:val="0"/>
        <w:keepLines w:val="0"/>
        <w:pageBreakBefore w:val="0"/>
        <w:widowControl w:val="0"/>
        <w:numPr>
          <w:ilvl w:val="0"/>
          <w:numId w:val="2"/>
        </w:numPr>
        <w:kinsoku/>
        <w:wordWrap/>
        <w:overflowPunct/>
        <w:topLinePunct w:val="0"/>
        <w:autoSpaceDE/>
        <w:autoSpaceDN/>
        <w:bidi w:val="0"/>
        <w:adjustRightInd/>
        <w:snapToGrid/>
        <w:ind w:left="0" w:leftChars="0" w:firstLine="640" w:firstLineChars="200"/>
        <w:textAlignment w:val="auto"/>
        <w:rPr>
          <w:rFonts w:hint="default" w:ascii="Times New Roman" w:hAnsi="Times New Roman" w:cs="Times New Roman"/>
          <w:highlight w:val="none"/>
          <w:lang w:val="en-US" w:eastAsia="zh-CN"/>
        </w:rPr>
      </w:pPr>
      <w:r>
        <w:rPr>
          <w:rFonts w:hint="default" w:ascii="Times New Roman" w:hAnsi="Times New Roman" w:cs="Times New Roman"/>
          <w:b w:val="0"/>
          <w:bCs w:val="0"/>
          <w:highlight w:val="none"/>
          <w:lang w:val="en-US" w:eastAsia="zh-CN"/>
        </w:rPr>
        <w:t>铂期货</w:t>
      </w:r>
      <w:r>
        <w:rPr>
          <w:rFonts w:hint="default" w:ascii="Times New Roman" w:hAnsi="Times New Roman" w:cs="Times New Roman"/>
          <w:highlight w:val="none"/>
        </w:rPr>
        <w:t>标准仓单分为仓库标准仓单和厂库标准仓单。</w:t>
      </w:r>
      <w:r>
        <w:rPr>
          <w:rFonts w:hint="default" w:ascii="Times New Roman" w:hAnsi="Times New Roman" w:cs="Times New Roman"/>
          <w:highlight w:val="none"/>
          <w:lang w:val="en-US" w:eastAsia="zh-CN"/>
        </w:rPr>
        <w:t>注册仓库标准仓单的货物应为国产铂锭，注册厂库标准仓单的货物应为国产或进口的铂锭、海绵铂及铂粉。</w:t>
      </w:r>
    </w:p>
    <w:p>
      <w:pPr>
        <w:numPr>
          <w:ilvl w:val="0"/>
          <w:numId w:val="2"/>
        </w:numPr>
        <w:ind w:left="0" w:leftChars="0" w:firstLine="640" w:firstLineChars="200"/>
        <w:rPr>
          <w:rFonts w:hint="default" w:ascii="Times New Roman" w:hAnsi="Times New Roman" w:cs="Times New Roman"/>
          <w:color w:val="auto"/>
          <w:highlight w:val="none"/>
          <w:lang w:val="en-US" w:eastAsia="zh-CN"/>
        </w:rPr>
      </w:pPr>
      <w:r>
        <w:rPr>
          <w:rFonts w:hint="default" w:ascii="Times New Roman" w:hAnsi="Times New Roman" w:cs="Times New Roman"/>
          <w:color w:val="auto"/>
          <w:sz w:val="32"/>
          <w:szCs w:val="32"/>
          <w:highlight w:val="none"/>
          <w:lang w:val="en-US" w:eastAsia="zh-CN"/>
        </w:rPr>
        <w:t>铂锭表面应</w:t>
      </w:r>
      <w:r>
        <w:rPr>
          <w:rFonts w:hint="default" w:ascii="Times New Roman" w:hAnsi="Times New Roman" w:eastAsia="仿宋_GB2312" w:cs="Times New Roman"/>
          <w:color w:val="auto"/>
          <w:sz w:val="32"/>
          <w:highlight w:val="none"/>
          <w:lang w:val="en-US" w:eastAsia="zh-CN"/>
        </w:rPr>
        <w:t>标明</w:t>
      </w:r>
      <w:r>
        <w:rPr>
          <w:rFonts w:hint="default" w:ascii="Times New Roman" w:hAnsi="Times New Roman" w:cs="Times New Roman"/>
          <w:color w:val="auto"/>
          <w:sz w:val="32"/>
          <w:szCs w:val="32"/>
          <w:highlight w:val="none"/>
          <w:lang w:val="en-US" w:eastAsia="zh-CN"/>
        </w:rPr>
        <w:t>产品名称、商标、铂含量、净重、商品编号。海绵铂、铂粉应装入塑料瓶，外包装应标明产品名称、商标、铂含量、毛重、净重、批号。</w:t>
      </w:r>
    </w:p>
    <w:p>
      <w:pPr>
        <w:pStyle w:val="2"/>
        <w:ind w:left="0" w:leftChars="0" w:firstLine="640" w:firstLineChars="200"/>
        <w:rPr>
          <w:rFonts w:hint="default" w:ascii="Times New Roman" w:hAnsi="Times New Roman" w:cs="Times New Roman"/>
          <w:color w:val="auto"/>
          <w:highlight w:val="none"/>
          <w:lang w:val="en-US" w:eastAsia="zh-CN"/>
        </w:rPr>
      </w:pPr>
      <w:r>
        <w:rPr>
          <w:rFonts w:hint="default" w:ascii="Times New Roman" w:hAnsi="Times New Roman" w:eastAsia="仿宋_GB2312" w:cs="Times New Roman"/>
          <w:color w:val="auto"/>
          <w:sz w:val="32"/>
          <w:szCs w:val="32"/>
          <w:highlight w:val="none"/>
          <w:lang w:val="en-US" w:eastAsia="zh-CN"/>
        </w:rPr>
        <w:t>铂期货包装物价格包含在相应期货合约价格中，不另行计价。</w:t>
      </w:r>
    </w:p>
    <w:p>
      <w:pPr>
        <w:keepNext w:val="0"/>
        <w:keepLines w:val="0"/>
        <w:pageBreakBefore w:val="0"/>
        <w:widowControl w:val="0"/>
        <w:numPr>
          <w:ilvl w:val="0"/>
          <w:numId w:val="2"/>
        </w:numPr>
        <w:kinsoku/>
        <w:wordWrap/>
        <w:overflowPunct/>
        <w:topLinePunct w:val="0"/>
        <w:autoSpaceDE/>
        <w:autoSpaceDN/>
        <w:bidi w:val="0"/>
        <w:adjustRightInd/>
        <w:snapToGrid/>
        <w:ind w:left="0" w:leftChars="0" w:firstLine="640" w:firstLineChars="200"/>
        <w:textAlignment w:val="auto"/>
        <w:rPr>
          <w:rFonts w:hint="default" w:ascii="Times New Roman" w:hAnsi="Times New Roman" w:cs="Times New Roman"/>
          <w:color w:val="auto"/>
          <w:highlight w:val="none"/>
          <w:lang w:val="en-US" w:eastAsia="zh-CN"/>
        </w:rPr>
      </w:pPr>
      <w:r>
        <w:rPr>
          <w:rFonts w:hint="default" w:ascii="Times New Roman" w:hAnsi="Times New Roman" w:eastAsia="仿宋_GB2312" w:cs="Times New Roman"/>
          <w:color w:val="auto"/>
          <w:kern w:val="2"/>
          <w:sz w:val="32"/>
          <w:szCs w:val="24"/>
          <w:highlight w:val="none"/>
          <w:lang w:val="en-US" w:eastAsia="zh-CN" w:bidi="ar-SA"/>
        </w:rPr>
        <w:t>铂期货交割品按照净重结算。</w:t>
      </w:r>
      <w:r>
        <w:rPr>
          <w:rFonts w:hint="default" w:ascii="Times New Roman" w:hAnsi="Times New Roman" w:cs="Times New Roman"/>
          <w:highlight w:val="none"/>
          <w:lang w:val="en-US" w:eastAsia="zh-CN"/>
        </w:rPr>
        <w:t>国产铂锭净重不得小于1000克，超过1000克的按1000克计。</w:t>
      </w:r>
    </w:p>
    <w:p>
      <w:pPr>
        <w:keepNext w:val="0"/>
        <w:keepLines w:val="0"/>
        <w:pageBreakBefore w:val="0"/>
        <w:widowControl w:val="0"/>
        <w:numPr>
          <w:ilvl w:val="0"/>
          <w:numId w:val="2"/>
        </w:numPr>
        <w:kinsoku/>
        <w:wordWrap/>
        <w:overflowPunct/>
        <w:topLinePunct w:val="0"/>
        <w:autoSpaceDE/>
        <w:autoSpaceDN/>
        <w:bidi w:val="0"/>
        <w:adjustRightInd/>
        <w:snapToGrid/>
        <w:ind w:left="0" w:leftChars="0" w:firstLine="640" w:firstLineChars="200"/>
        <w:textAlignment w:val="auto"/>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zh-CN"/>
        </w:rPr>
        <w:t>每年8月最后一个交易日闭市后，交易所对铂期货厂库标准仓单进行统一注销。</w:t>
      </w:r>
    </w:p>
    <w:p>
      <w:pPr>
        <w:keepNext w:val="0"/>
        <w:keepLines w:val="0"/>
        <w:pageBreakBefore w:val="0"/>
        <w:widowControl w:val="0"/>
        <w:numPr>
          <w:ilvl w:val="0"/>
          <w:numId w:val="2"/>
        </w:numPr>
        <w:kinsoku/>
        <w:wordWrap/>
        <w:overflowPunct/>
        <w:topLinePunct w:val="0"/>
        <w:autoSpaceDE/>
        <w:autoSpaceDN/>
        <w:bidi w:val="0"/>
        <w:adjustRightInd/>
        <w:snapToGrid/>
        <w:ind w:left="0" w:leftChars="0" w:firstLine="640" w:firstLineChars="200"/>
        <w:textAlignment w:val="auto"/>
        <w:rPr>
          <w:rFonts w:hint="default" w:ascii="Times New Roman" w:hAnsi="Times New Roman" w:cs="Times New Roman"/>
          <w:highlight w:val="none"/>
        </w:rPr>
      </w:pPr>
      <w:r>
        <w:rPr>
          <w:rFonts w:hint="default" w:ascii="Times New Roman" w:hAnsi="Times New Roman" w:cs="Times New Roman"/>
          <w:highlight w:val="none"/>
          <w:lang w:val="en-US" w:eastAsia="zh-CN"/>
        </w:rPr>
        <w:t>铂</w:t>
      </w:r>
      <w:r>
        <w:rPr>
          <w:rFonts w:hint="default" w:ascii="Times New Roman" w:hAnsi="Times New Roman" w:cs="Times New Roman"/>
          <w:highlight w:val="none"/>
        </w:rPr>
        <w:t>期货交割开具增值税专用发票。</w:t>
      </w:r>
    </w:p>
    <w:p>
      <w:pPr>
        <w:keepNext w:val="0"/>
        <w:keepLines w:val="0"/>
        <w:pageBreakBefore w:val="0"/>
        <w:widowControl w:val="0"/>
        <w:numPr>
          <w:ilvl w:val="0"/>
          <w:numId w:val="2"/>
        </w:numPr>
        <w:kinsoku/>
        <w:wordWrap/>
        <w:overflowPunct/>
        <w:topLinePunct w:val="0"/>
        <w:autoSpaceDE/>
        <w:autoSpaceDN/>
        <w:bidi w:val="0"/>
        <w:adjustRightInd/>
        <w:snapToGrid/>
        <w:ind w:left="0" w:leftChars="0" w:firstLine="640" w:firstLineChars="200"/>
        <w:textAlignment w:val="auto"/>
        <w:rPr>
          <w:rFonts w:hint="default" w:ascii="Times New Roman" w:hAnsi="Times New Roman" w:cs="Times New Roman"/>
          <w:highlight w:val="none"/>
        </w:rPr>
      </w:pPr>
      <w:r>
        <w:rPr>
          <w:rFonts w:hint="default" w:ascii="Times New Roman" w:hAnsi="Times New Roman" w:cs="Times New Roman"/>
          <w:highlight w:val="none"/>
          <w:lang w:val="en-US" w:eastAsia="zh-CN"/>
        </w:rPr>
        <w:t>铂</w:t>
      </w:r>
      <w:r>
        <w:rPr>
          <w:rFonts w:hint="default" w:ascii="Times New Roman" w:hAnsi="Times New Roman" w:cs="Times New Roman"/>
          <w:highlight w:val="none"/>
        </w:rPr>
        <w:t>期货交割仓库、厂库及相关升贴水由交易所确定并公</w:t>
      </w:r>
      <w:r>
        <w:rPr>
          <w:rFonts w:hint="default" w:ascii="Times New Roman" w:hAnsi="Times New Roman" w:cs="Times New Roman"/>
          <w:b w:val="0"/>
          <w:bCs w:val="0"/>
          <w:highlight w:val="none"/>
        </w:rPr>
        <w:t>布。交易所可以视情况对</w:t>
      </w:r>
      <w:r>
        <w:rPr>
          <w:rFonts w:hint="default" w:ascii="Times New Roman" w:hAnsi="Times New Roman" w:cs="Times New Roman"/>
          <w:b w:val="0"/>
          <w:bCs w:val="0"/>
          <w:highlight w:val="none"/>
          <w:lang w:val="en-US" w:eastAsia="zh-CN"/>
        </w:rPr>
        <w:t>铂</w:t>
      </w:r>
      <w:r>
        <w:rPr>
          <w:rFonts w:hint="default" w:ascii="Times New Roman" w:hAnsi="Times New Roman" w:cs="Times New Roman"/>
          <w:b w:val="0"/>
          <w:bCs w:val="0"/>
          <w:highlight w:val="none"/>
        </w:rPr>
        <w:t>期货交割仓库、厂库及相关升贴水进行调整。</w:t>
      </w:r>
    </w:p>
    <w:p>
      <w:pPr>
        <w:keepNext w:val="0"/>
        <w:keepLines w:val="0"/>
        <w:pageBreakBefore w:val="0"/>
        <w:widowControl w:val="0"/>
        <w:numPr>
          <w:ilvl w:val="0"/>
          <w:numId w:val="2"/>
        </w:numPr>
        <w:kinsoku/>
        <w:wordWrap/>
        <w:overflowPunct/>
        <w:topLinePunct w:val="0"/>
        <w:autoSpaceDE/>
        <w:autoSpaceDN/>
        <w:bidi w:val="0"/>
        <w:adjustRightInd/>
        <w:snapToGrid/>
        <w:ind w:left="0" w:leftChars="0" w:firstLine="640" w:firstLineChars="200"/>
        <w:textAlignment w:val="auto"/>
        <w:rPr>
          <w:rFonts w:hint="default" w:ascii="Times New Roman" w:hAnsi="Times New Roman" w:cs="Times New Roman"/>
          <w:highlight w:val="none"/>
        </w:rPr>
      </w:pPr>
      <w:r>
        <w:rPr>
          <w:rFonts w:hint="default" w:ascii="Times New Roman" w:hAnsi="Times New Roman" w:cs="Times New Roman"/>
          <w:color w:val="auto"/>
          <w:highlight w:val="none"/>
          <w:lang w:val="en-US" w:eastAsia="zh-CN"/>
        </w:rPr>
        <w:t>铂期货交割货款以交割结算价为基础，再加上交割库升贴水一并进行结算。</w:t>
      </w: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highlight w:val="none"/>
        </w:rPr>
      </w:pPr>
      <w:r>
        <w:rPr>
          <w:rFonts w:hint="default" w:ascii="Times New Roman" w:hAnsi="Times New Roman" w:eastAsia="仿宋_GB2312" w:cs="Times New Roman"/>
          <w:sz w:val="32"/>
          <w:highlight w:val="none"/>
          <w:lang w:val="en-US" w:eastAsia="zh-CN"/>
        </w:rPr>
        <w:t>铂</w:t>
      </w:r>
      <w:r>
        <w:rPr>
          <w:rFonts w:hint="default" w:ascii="Times New Roman" w:hAnsi="Times New Roman" w:eastAsia="仿宋_GB2312" w:cs="Times New Roman"/>
          <w:sz w:val="32"/>
          <w:highlight w:val="none"/>
        </w:rPr>
        <w:t>期货交割手续费、仓储费、出入库费、检验费等交割相关费用标准由交易所另行规定并公布</w:t>
      </w:r>
      <w:r>
        <w:rPr>
          <w:rFonts w:hint="default" w:ascii="Times New Roman" w:hAnsi="Times New Roman" w:cs="Times New Roman"/>
          <w:sz w:val="32"/>
          <w:highlight w:val="none"/>
          <w:lang w:eastAsia="zh-CN"/>
        </w:rPr>
        <w:t>。</w:t>
      </w:r>
    </w:p>
    <w:p>
      <w:pPr>
        <w:keepNext w:val="0"/>
        <w:keepLines w:val="0"/>
        <w:pageBreakBefore w:val="0"/>
        <w:widowControl w:val="0"/>
        <w:numPr>
          <w:ilvl w:val="0"/>
          <w:numId w:val="2"/>
        </w:numPr>
        <w:kinsoku/>
        <w:wordWrap/>
        <w:overflowPunct/>
        <w:topLinePunct w:val="0"/>
        <w:autoSpaceDE/>
        <w:autoSpaceDN/>
        <w:bidi w:val="0"/>
        <w:adjustRightInd/>
        <w:snapToGrid/>
        <w:ind w:left="0" w:leftChars="0" w:firstLine="640" w:firstLineChars="200"/>
        <w:textAlignment w:val="auto"/>
        <w:rPr>
          <w:rFonts w:hint="default" w:ascii="Times New Roman" w:hAnsi="Times New Roman" w:cs="Times New Roman"/>
          <w:highlight w:val="none"/>
        </w:rPr>
      </w:pPr>
      <w:r>
        <w:rPr>
          <w:rFonts w:hint="default" w:ascii="Times New Roman" w:hAnsi="Times New Roman" w:cs="Times New Roman"/>
          <w:highlight w:val="none"/>
          <w:lang w:val="en-US" w:eastAsia="zh-CN"/>
        </w:rPr>
        <w:t>铂</w:t>
      </w:r>
      <w:r>
        <w:rPr>
          <w:rFonts w:hint="default" w:ascii="Times New Roman" w:hAnsi="Times New Roman" w:cs="Times New Roman"/>
          <w:highlight w:val="none"/>
        </w:rPr>
        <w:t>期货标准仓单生成、流通、注销等相关业务，本细则未规定的，适用《广州期货交易所标准仓单管理办法》相关规定。</w:t>
      </w:r>
    </w:p>
    <w:p>
      <w:pPr>
        <w:keepNext w:val="0"/>
        <w:keepLines w:val="0"/>
        <w:pageBreakBefore w:val="0"/>
        <w:widowControl w:val="0"/>
        <w:numPr>
          <w:ilvl w:val="0"/>
          <w:numId w:val="2"/>
        </w:numPr>
        <w:kinsoku/>
        <w:wordWrap/>
        <w:overflowPunct/>
        <w:topLinePunct w:val="0"/>
        <w:autoSpaceDE/>
        <w:autoSpaceDN/>
        <w:bidi w:val="0"/>
        <w:adjustRightInd/>
        <w:snapToGrid/>
        <w:ind w:left="0" w:leftChars="0" w:firstLine="640" w:firstLineChars="200"/>
        <w:textAlignment w:val="auto"/>
        <w:rPr>
          <w:rFonts w:hint="default" w:ascii="Times New Roman" w:hAnsi="Times New Roman" w:cs="Times New Roman"/>
          <w:highlight w:val="none"/>
        </w:rPr>
      </w:pPr>
      <w:r>
        <w:rPr>
          <w:rFonts w:hint="default" w:ascii="Times New Roman" w:hAnsi="Times New Roman" w:cs="Times New Roman"/>
          <w:highlight w:val="none"/>
        </w:rPr>
        <w:t>申请成为</w:t>
      </w:r>
      <w:r>
        <w:rPr>
          <w:rFonts w:hint="default" w:ascii="Times New Roman" w:hAnsi="Times New Roman" w:cs="Times New Roman"/>
          <w:highlight w:val="none"/>
          <w:lang w:val="en-US" w:eastAsia="zh-CN"/>
        </w:rPr>
        <w:t>铂</w:t>
      </w:r>
      <w:r>
        <w:rPr>
          <w:rFonts w:hint="default" w:ascii="Times New Roman" w:hAnsi="Times New Roman" w:cs="Times New Roman"/>
          <w:highlight w:val="none"/>
        </w:rPr>
        <w:t>期货指定交割库，采取由控股子公司作为交割业务实际运营单位模式的，应当对控股子公司的业务开展、场所和人员具备统一管理能力，并经交易所审批同意。控股子公司开展交割业务发生的法律责任，由指定交割库申请人按照交易所规定、要求承担责任。</w:t>
      </w:r>
    </w:p>
    <w:p>
      <w:pPr>
        <w:keepNext w:val="0"/>
        <w:keepLines w:val="0"/>
        <w:pageBreakBefore w:val="0"/>
        <w:widowControl w:val="0"/>
        <w:numPr>
          <w:ilvl w:val="0"/>
          <w:numId w:val="2"/>
        </w:numPr>
        <w:kinsoku/>
        <w:wordWrap/>
        <w:overflowPunct/>
        <w:topLinePunct w:val="0"/>
        <w:autoSpaceDE/>
        <w:autoSpaceDN/>
        <w:bidi w:val="0"/>
        <w:adjustRightInd/>
        <w:snapToGrid/>
        <w:ind w:left="0" w:leftChars="0" w:firstLine="640" w:firstLineChars="200"/>
        <w:textAlignment w:val="auto"/>
        <w:rPr>
          <w:rFonts w:hint="default" w:ascii="Times New Roman" w:hAnsi="Times New Roman" w:cs="Times New Roman"/>
          <w:highlight w:val="none"/>
        </w:rPr>
      </w:pPr>
      <w:r>
        <w:rPr>
          <w:rFonts w:hint="default" w:ascii="Times New Roman" w:hAnsi="Times New Roman" w:cs="Times New Roman"/>
          <w:highlight w:val="none"/>
        </w:rPr>
        <w:t>申请成为</w:t>
      </w:r>
      <w:r>
        <w:rPr>
          <w:rFonts w:hint="default" w:ascii="Times New Roman" w:hAnsi="Times New Roman" w:cs="Times New Roman"/>
          <w:highlight w:val="none"/>
          <w:lang w:val="en-US" w:eastAsia="zh-CN"/>
        </w:rPr>
        <w:t>铂</w:t>
      </w:r>
      <w:r>
        <w:rPr>
          <w:rFonts w:hint="default" w:ascii="Times New Roman" w:hAnsi="Times New Roman" w:cs="Times New Roman"/>
          <w:highlight w:val="none"/>
        </w:rPr>
        <w:t>期货交割厂库（以下简称厂库）的，应当在厂库业务与相关期货交易业务之间以及该单位与关联单位之间建立有效的隔离制度，加强对资金、业务、管理、人员、信息系统、营业场所和信息传递等的隔离；建立健全利益冲突识别和管理机制，切实防范风险传导和不当牟利。</w:t>
      </w:r>
    </w:p>
    <w:p>
      <w:pPr>
        <w:keepNext w:val="0"/>
        <w:keepLines w:val="0"/>
        <w:pageBreakBefore w:val="0"/>
        <w:widowControl w:val="0"/>
        <w:numPr>
          <w:ilvl w:val="0"/>
          <w:numId w:val="2"/>
        </w:numPr>
        <w:kinsoku/>
        <w:wordWrap/>
        <w:overflowPunct/>
        <w:topLinePunct w:val="0"/>
        <w:autoSpaceDE/>
        <w:autoSpaceDN/>
        <w:bidi w:val="0"/>
        <w:adjustRightInd/>
        <w:snapToGrid/>
        <w:ind w:left="0" w:leftChars="0" w:firstLine="640" w:firstLineChars="200"/>
        <w:textAlignment w:val="auto"/>
        <w:rPr>
          <w:rFonts w:hint="default" w:ascii="Times New Roman" w:hAnsi="Times New Roman" w:cs="Times New Roman"/>
          <w:highlight w:val="none"/>
          <w:lang w:val="en-US" w:eastAsia="zh-CN"/>
        </w:rPr>
      </w:pPr>
      <w:r>
        <w:rPr>
          <w:rFonts w:hint="default" w:ascii="Times New Roman" w:hAnsi="Times New Roman" w:cs="Times New Roman"/>
          <w:highlight w:val="none"/>
        </w:rPr>
        <w:t>交易所有权就厂库是否利用其自身或其关联企业开展相关期货业务的优势不当牟利进行检查和调查，厂库应予以配合。</w:t>
      </w:r>
    </w:p>
    <w:p>
      <w:pPr>
        <w:pStyle w:val="2"/>
        <w:rPr>
          <w:rFonts w:hint="default"/>
          <w:lang w:val="en-US" w:eastAsia="zh-CN"/>
        </w:rPr>
      </w:pPr>
    </w:p>
    <w:p>
      <w:pPr>
        <w:bidi w:val="0"/>
        <w:ind w:left="0" w:leftChars="0" w:firstLine="0" w:firstLineChars="0"/>
        <w:jc w:val="center"/>
        <w:rPr>
          <w:rFonts w:hint="default" w:ascii="Times New Roman" w:hAnsi="Times New Roman" w:eastAsia="黑体" w:cs="Times New Roman"/>
          <w:highlight w:val="none"/>
        </w:rPr>
      </w:pPr>
      <w:r>
        <w:rPr>
          <w:rFonts w:hint="default" w:ascii="Times New Roman" w:hAnsi="Times New Roman" w:eastAsia="黑体" w:cs="Times New Roman"/>
          <w:highlight w:val="none"/>
        </w:rPr>
        <w:t>第二节 仓库标准仓单交割</w:t>
      </w:r>
    </w:p>
    <w:p>
      <w:pPr>
        <w:keepNext w:val="0"/>
        <w:keepLines w:val="0"/>
        <w:pageBreakBefore w:val="0"/>
        <w:widowControl w:val="0"/>
        <w:numPr>
          <w:ilvl w:val="0"/>
          <w:numId w:val="2"/>
        </w:numPr>
        <w:kinsoku/>
        <w:wordWrap/>
        <w:overflowPunct/>
        <w:topLinePunct w:val="0"/>
        <w:autoSpaceDE/>
        <w:autoSpaceDN/>
        <w:bidi w:val="0"/>
        <w:adjustRightInd/>
        <w:snapToGrid/>
        <w:ind w:left="0" w:leftChars="0" w:firstLine="640" w:firstLineChars="200"/>
        <w:textAlignment w:val="auto"/>
        <w:rPr>
          <w:rFonts w:hint="default" w:ascii="Times New Roman" w:hAnsi="Times New Roman" w:cs="Times New Roman"/>
          <w:highlight w:val="none"/>
        </w:rPr>
      </w:pPr>
      <w:r>
        <w:rPr>
          <w:rFonts w:hint="default" w:ascii="Times New Roman" w:hAnsi="Times New Roman" w:cs="Times New Roman"/>
          <w:highlight w:val="none"/>
        </w:rPr>
        <w:t>会员办理交割预报时，应当按</w:t>
      </w:r>
      <w:r>
        <w:rPr>
          <w:rFonts w:hint="default" w:ascii="Times New Roman" w:hAnsi="Times New Roman" w:cs="Times New Roman"/>
          <w:highlight w:val="none"/>
          <w:lang w:val="en-US" w:eastAsia="zh-CN"/>
        </w:rPr>
        <w:t>0.04</w:t>
      </w:r>
      <w:r>
        <w:rPr>
          <w:rFonts w:hint="default" w:ascii="Times New Roman" w:hAnsi="Times New Roman" w:cs="Times New Roman"/>
          <w:highlight w:val="none"/>
        </w:rPr>
        <w:t>元/</w:t>
      </w:r>
      <w:r>
        <w:rPr>
          <w:rFonts w:hint="default" w:ascii="Times New Roman" w:hAnsi="Times New Roman" w:cs="Times New Roman"/>
          <w:highlight w:val="none"/>
          <w:lang w:val="en-US" w:eastAsia="zh-CN"/>
        </w:rPr>
        <w:t>克</w:t>
      </w:r>
      <w:r>
        <w:rPr>
          <w:rFonts w:hint="default" w:ascii="Times New Roman" w:hAnsi="Times New Roman" w:cs="Times New Roman"/>
          <w:highlight w:val="none"/>
        </w:rPr>
        <w:t>向交易所交纳交割预报定金</w:t>
      </w:r>
      <w:r>
        <w:rPr>
          <w:rFonts w:hint="default" w:ascii="Times New Roman" w:hAnsi="Times New Roman" w:cs="Times New Roman"/>
          <w:highlight w:val="none"/>
          <w:lang w:eastAsia="zh-CN"/>
        </w:rPr>
        <w:t>，</w:t>
      </w:r>
      <w:r>
        <w:rPr>
          <w:rFonts w:hint="default" w:ascii="Times New Roman" w:hAnsi="Times New Roman" w:cs="Times New Roman"/>
          <w:highlight w:val="none"/>
          <w:lang w:val="en-US" w:eastAsia="zh-CN"/>
        </w:rPr>
        <w:t>预报有效期为30个自然日</w:t>
      </w:r>
      <w:r>
        <w:rPr>
          <w:rFonts w:hint="default" w:ascii="Times New Roman" w:hAnsi="Times New Roman" w:cs="Times New Roman"/>
          <w:highlight w:val="none"/>
        </w:rPr>
        <w:t>。</w:t>
      </w:r>
    </w:p>
    <w:p>
      <w:pPr>
        <w:keepNext w:val="0"/>
        <w:keepLines w:val="0"/>
        <w:pageBreakBefore w:val="0"/>
        <w:widowControl w:val="0"/>
        <w:numPr>
          <w:ilvl w:val="0"/>
          <w:numId w:val="2"/>
        </w:numPr>
        <w:kinsoku/>
        <w:wordWrap/>
        <w:overflowPunct/>
        <w:topLinePunct w:val="0"/>
        <w:autoSpaceDE/>
        <w:autoSpaceDN/>
        <w:bidi w:val="0"/>
        <w:adjustRightInd/>
        <w:snapToGrid/>
        <w:ind w:left="0" w:leftChars="0" w:firstLine="640" w:firstLineChars="200"/>
        <w:textAlignment w:val="auto"/>
        <w:rPr>
          <w:rFonts w:hint="default" w:ascii="Times New Roman" w:hAnsi="Times New Roman" w:cs="Times New Roman"/>
          <w:highlight w:val="none"/>
        </w:rPr>
      </w:pPr>
      <w:r>
        <w:rPr>
          <w:rFonts w:hint="default" w:ascii="Times New Roman" w:hAnsi="Times New Roman" w:cs="Times New Roman"/>
          <w:highlight w:val="none"/>
        </w:rPr>
        <w:t>办理完交割预报的货主在入库前3个自然日之前，应当将车船号、品种、数量、到货时间等通知交割仓库（以下简称仓库），仓库应当合理安排接收商品入库。</w:t>
      </w:r>
    </w:p>
    <w:p>
      <w:pPr>
        <w:keepNext w:val="0"/>
        <w:keepLines w:val="0"/>
        <w:pageBreakBefore w:val="0"/>
        <w:widowControl w:val="0"/>
        <w:numPr>
          <w:ilvl w:val="0"/>
          <w:numId w:val="2"/>
        </w:numPr>
        <w:kinsoku/>
        <w:wordWrap/>
        <w:overflowPunct/>
        <w:topLinePunct w:val="0"/>
        <w:autoSpaceDE/>
        <w:autoSpaceDN/>
        <w:bidi w:val="0"/>
        <w:adjustRightInd/>
        <w:snapToGrid/>
        <w:ind w:left="0" w:leftChars="0" w:firstLine="640" w:firstLineChars="200"/>
        <w:textAlignment w:val="auto"/>
        <w:rPr>
          <w:rFonts w:hint="default" w:ascii="Times New Roman" w:hAnsi="Times New Roman" w:eastAsia="仿宋_GB2312" w:cs="Times New Roman"/>
          <w:highlight w:val="none"/>
          <w:lang w:val="en-US" w:eastAsia="zh-CN"/>
        </w:rPr>
      </w:pPr>
      <w:r>
        <w:rPr>
          <w:rFonts w:hint="default" w:ascii="Times New Roman" w:hAnsi="Times New Roman" w:cs="Times New Roman"/>
          <w:highlight w:val="none"/>
          <w:lang w:val="en-US" w:eastAsia="zh-CN"/>
        </w:rPr>
        <w:t>铂</w:t>
      </w:r>
      <w:r>
        <w:rPr>
          <w:rFonts w:hint="default" w:ascii="Times New Roman" w:hAnsi="Times New Roman" w:cs="Times New Roman"/>
          <w:highlight w:val="none"/>
        </w:rPr>
        <w:t>入库时，</w:t>
      </w:r>
      <w:r>
        <w:rPr>
          <w:rFonts w:hint="default" w:ascii="Times New Roman" w:hAnsi="Times New Roman" w:cs="Times New Roman"/>
          <w:highlight w:val="none"/>
          <w:lang w:val="en-US" w:eastAsia="zh-CN"/>
        </w:rPr>
        <w:t>应当由注册品牌企业已在交易所备案的指定存货人员办理入库手续，并</w:t>
      </w:r>
      <w:r>
        <w:rPr>
          <w:rFonts w:hint="default" w:ascii="Times New Roman" w:hAnsi="Times New Roman" w:cs="Times New Roman"/>
          <w:highlight w:val="none"/>
        </w:rPr>
        <w:t>向仓库提交</w:t>
      </w:r>
      <w:r>
        <w:rPr>
          <w:rFonts w:hint="default" w:ascii="Times New Roman" w:hAnsi="Times New Roman" w:cs="Times New Roman"/>
          <w:strike w:val="0"/>
          <w:dstrike w:val="0"/>
          <w:highlight w:val="none"/>
          <w:lang w:val="en-US" w:eastAsia="zh-CN"/>
        </w:rPr>
        <w:t>注册品牌企业</w:t>
      </w:r>
      <w:r>
        <w:rPr>
          <w:rFonts w:hint="default" w:ascii="Times New Roman" w:hAnsi="Times New Roman" w:cs="Times New Roman"/>
          <w:strike w:val="0"/>
          <w:dstrike w:val="0"/>
          <w:highlight w:val="none"/>
        </w:rPr>
        <w:t>出具的</w:t>
      </w:r>
      <w:r>
        <w:rPr>
          <w:rFonts w:hint="default" w:ascii="Times New Roman" w:hAnsi="Times New Roman" w:cs="Times New Roman"/>
          <w:highlight w:val="none"/>
        </w:rPr>
        <w:t>质量证明书及交易所要求的其他材料</w:t>
      </w:r>
      <w:r>
        <w:rPr>
          <w:rFonts w:hint="default" w:ascii="Times New Roman" w:hAnsi="Times New Roman" w:cs="Times New Roman"/>
          <w:highlight w:val="none"/>
          <w:lang w:eastAsia="zh-CN"/>
        </w:rPr>
        <w:t>，</w:t>
      </w:r>
      <w:r>
        <w:rPr>
          <w:rFonts w:hint="default" w:ascii="Times New Roman" w:hAnsi="Times New Roman" w:cs="Times New Roman"/>
          <w:highlight w:val="none"/>
          <w:lang w:val="en-US" w:eastAsia="zh-CN"/>
        </w:rPr>
        <w:t>可</w:t>
      </w:r>
      <w:r>
        <w:rPr>
          <w:rFonts w:hint="default" w:ascii="Times New Roman" w:hAnsi="Times New Roman" w:cs="Times New Roman"/>
          <w:strike w:val="0"/>
          <w:dstrike w:val="0"/>
          <w:highlight w:val="none"/>
        </w:rPr>
        <w:t>免于质量检验</w:t>
      </w:r>
      <w:r>
        <w:rPr>
          <w:rFonts w:hint="default" w:ascii="Times New Roman" w:hAnsi="Times New Roman" w:cs="Times New Roman"/>
          <w:color w:val="000000" w:themeColor="text1"/>
          <w:highlight w:val="none"/>
          <w:lang w:val="en-US" w:eastAsia="zh-CN"/>
          <w14:textFill>
            <w14:solidFill>
              <w14:schemeClr w14:val="tx1"/>
            </w14:solidFill>
          </w14:textFill>
        </w:rPr>
        <w:t>。</w:t>
      </w:r>
      <w:r>
        <w:rPr>
          <w:rFonts w:hint="default" w:ascii="Times New Roman" w:hAnsi="Times New Roman" w:cs="Times New Roman"/>
          <w:highlight w:val="none"/>
        </w:rPr>
        <w:t>质量证明书应当注明产品名称、</w:t>
      </w:r>
      <w:r>
        <w:rPr>
          <w:rFonts w:hint="default" w:ascii="Times New Roman" w:hAnsi="Times New Roman" w:cs="Times New Roman"/>
          <w:highlight w:val="none"/>
          <w:lang w:val="en-US" w:eastAsia="zh-CN"/>
        </w:rPr>
        <w:t>商标、</w:t>
      </w:r>
      <w:r>
        <w:rPr>
          <w:rFonts w:hint="default" w:ascii="Times New Roman" w:hAnsi="Times New Roman" w:cs="Times New Roman"/>
          <w:highlight w:val="none"/>
        </w:rPr>
        <w:t>生产厂家、批号、</w:t>
      </w:r>
      <w:r>
        <w:rPr>
          <w:rFonts w:hint="default" w:ascii="Times New Roman" w:hAnsi="Times New Roman" w:cs="Times New Roman"/>
          <w:highlight w:val="none"/>
          <w:lang w:val="en-US" w:eastAsia="zh-CN"/>
        </w:rPr>
        <w:t>商品编号、净重</w:t>
      </w:r>
      <w:r>
        <w:rPr>
          <w:rFonts w:hint="default" w:ascii="Times New Roman" w:hAnsi="Times New Roman" w:cs="Times New Roman"/>
          <w:highlight w:val="none"/>
        </w:rPr>
        <w:t>、适用的质量标准和该批产品的质量检验结果等信息。</w:t>
      </w:r>
    </w:p>
    <w:p>
      <w:pPr>
        <w:keepNext w:val="0"/>
        <w:keepLines w:val="0"/>
        <w:pageBreakBefore w:val="0"/>
        <w:widowControl w:val="0"/>
        <w:numPr>
          <w:ilvl w:val="-1"/>
          <w:numId w:val="0"/>
        </w:numPr>
        <w:tabs>
          <w:tab w:val="left" w:pos="0"/>
        </w:tabs>
        <w:kinsoku/>
        <w:wordWrap/>
        <w:overflowPunct/>
        <w:topLinePunct w:val="0"/>
        <w:autoSpaceDE/>
        <w:autoSpaceDN/>
        <w:bidi w:val="0"/>
        <w:adjustRightInd/>
        <w:snapToGrid/>
        <w:ind w:left="0" w:leftChars="0" w:firstLine="640" w:firstLineChars="200"/>
        <w:textAlignment w:val="auto"/>
        <w:rPr>
          <w:rFonts w:hint="default" w:ascii="Times New Roman" w:hAnsi="Times New Roman" w:eastAsia="仿宋_GB2312" w:cs="Times New Roman"/>
          <w:highlight w:val="none"/>
          <w:lang w:val="en-US" w:eastAsia="zh-CN"/>
        </w:rPr>
      </w:pPr>
      <w:r>
        <w:rPr>
          <w:rFonts w:hint="default" w:ascii="Times New Roman" w:hAnsi="Times New Roman" w:cs="Times New Roman"/>
          <w:highlight w:val="none"/>
        </w:rPr>
        <w:t>仓库应当按照交易所有关规定</w:t>
      </w:r>
      <w:r>
        <w:rPr>
          <w:rFonts w:hint="default" w:ascii="Times New Roman" w:hAnsi="Times New Roman" w:cs="Times New Roman"/>
          <w:highlight w:val="none"/>
          <w:lang w:val="en-US" w:eastAsia="zh-CN"/>
        </w:rPr>
        <w:t>对入库商品的质量证明书等</w:t>
      </w:r>
      <w:r>
        <w:rPr>
          <w:rFonts w:hint="default" w:ascii="Times New Roman" w:hAnsi="Times New Roman" w:cs="Times New Roman"/>
          <w:highlight w:val="none"/>
        </w:rPr>
        <w:t>相关材料和凭证进行验收。</w:t>
      </w:r>
      <w:r>
        <w:rPr>
          <w:rFonts w:hint="default" w:ascii="Times New Roman" w:hAnsi="Times New Roman" w:cs="Times New Roman"/>
          <w:color w:val="000000" w:themeColor="text1"/>
          <w:highlight w:val="none"/>
          <w:lang w:val="en-US" w:eastAsia="zh-CN"/>
          <w14:textFill>
            <w14:solidFill>
              <w14:schemeClr w14:val="tx1"/>
            </w14:solidFill>
          </w14:textFill>
        </w:rPr>
        <w:t>因生产导致的入库商品质量问题，注册品牌企业应当承担责任。</w:t>
      </w:r>
    </w:p>
    <w:p>
      <w:pPr>
        <w:keepNext w:val="0"/>
        <w:keepLines w:val="0"/>
        <w:pageBreakBefore w:val="0"/>
        <w:widowControl w:val="0"/>
        <w:numPr>
          <w:ilvl w:val="0"/>
          <w:numId w:val="2"/>
        </w:numPr>
        <w:kinsoku/>
        <w:wordWrap/>
        <w:overflowPunct/>
        <w:topLinePunct w:val="0"/>
        <w:autoSpaceDE/>
        <w:autoSpaceDN/>
        <w:bidi w:val="0"/>
        <w:adjustRightInd/>
        <w:snapToGrid/>
        <w:ind w:left="0" w:leftChars="0" w:firstLine="640" w:firstLineChars="200"/>
        <w:textAlignment w:val="auto"/>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zh-CN"/>
        </w:rPr>
        <w:t>铂</w:t>
      </w:r>
      <w:r>
        <w:rPr>
          <w:rFonts w:hint="default" w:ascii="Times New Roman" w:hAnsi="Times New Roman" w:cs="Times New Roman"/>
          <w:highlight w:val="none"/>
        </w:rPr>
        <w:t>入库时，仓库对入库商品进行重量验收</w:t>
      </w:r>
      <w:r>
        <w:rPr>
          <w:rFonts w:hint="default" w:ascii="Times New Roman" w:hAnsi="Times New Roman" w:cs="Times New Roman"/>
          <w:highlight w:val="none"/>
          <w:lang w:eastAsia="zh-CN"/>
        </w:rPr>
        <w:t>，</w:t>
      </w:r>
      <w:r>
        <w:rPr>
          <w:rFonts w:hint="default" w:ascii="Times New Roman" w:hAnsi="Times New Roman" w:cs="Times New Roman"/>
          <w:highlight w:val="none"/>
          <w:lang w:val="en-US" w:eastAsia="zh-CN"/>
        </w:rPr>
        <w:t>铂重量验收采用对铂锭逐一复磅的方式进行。</w:t>
      </w:r>
      <w:bookmarkStart w:id="0" w:name="OLE_LINK1"/>
      <w:r>
        <w:rPr>
          <w:rFonts w:hint="default" w:ascii="Times New Roman" w:hAnsi="Times New Roman" w:cs="Times New Roman"/>
          <w:highlight w:val="none"/>
          <w:lang w:val="en-US" w:eastAsia="zh-CN"/>
        </w:rPr>
        <w:t>入库铂锭的净重以仓库称重为准。</w:t>
      </w:r>
    </w:p>
    <w:bookmarkEnd w:id="0"/>
    <w:p>
      <w:pPr>
        <w:numPr>
          <w:ilvl w:val="0"/>
          <w:numId w:val="2"/>
        </w:numPr>
        <w:bidi w:val="0"/>
        <w:ind w:firstLine="640"/>
        <w:rPr>
          <w:rFonts w:hint="default" w:ascii="Times New Roman" w:hAnsi="Times New Roman" w:cs="Times New Roman"/>
          <w:highlight w:val="none"/>
        </w:rPr>
      </w:pPr>
      <w:bookmarkStart w:id="1" w:name="OLE_LINK2"/>
      <w:r>
        <w:rPr>
          <w:rFonts w:hint="default" w:ascii="Times New Roman" w:hAnsi="Times New Roman" w:cs="Times New Roman"/>
          <w:i w:val="0"/>
          <w:iCs w:val="0"/>
          <w:caps w:val="0"/>
          <w:spacing w:val="0"/>
          <w:sz w:val="32"/>
          <w:szCs w:val="24"/>
          <w:highlight w:val="none"/>
          <w:shd w:val="clear"/>
          <w:lang w:val="en-US" w:eastAsia="zh-CN"/>
        </w:rPr>
        <w:t>滚动交割或一次性</w:t>
      </w:r>
      <w:r>
        <w:rPr>
          <w:rFonts w:ascii="Times New Roman" w:hAnsi="Times New Roman" w:eastAsia="仿宋_GB2312" w:cs="Times New Roman"/>
          <w:i w:val="0"/>
          <w:iCs w:val="0"/>
          <w:caps w:val="0"/>
          <w:spacing w:val="0"/>
          <w:sz w:val="32"/>
          <w:szCs w:val="24"/>
          <w:highlight w:val="none"/>
          <w:shd w:val="clear"/>
        </w:rPr>
        <w:t>交割完成后，</w:t>
      </w:r>
      <w:r>
        <w:rPr>
          <w:rFonts w:hint="default" w:ascii="Times New Roman" w:hAnsi="Times New Roman" w:cs="Times New Roman"/>
          <w:i w:val="0"/>
          <w:iCs w:val="0"/>
          <w:caps w:val="0"/>
          <w:spacing w:val="0"/>
          <w:sz w:val="32"/>
          <w:szCs w:val="24"/>
          <w:highlight w:val="none"/>
          <w:shd w:val="clear"/>
          <w:lang w:val="en-US" w:eastAsia="zh-CN"/>
        </w:rPr>
        <w:t>买方</w:t>
      </w:r>
      <w:r>
        <w:rPr>
          <w:rFonts w:hint="default" w:ascii="Times New Roman" w:hAnsi="Times New Roman" w:cs="Times New Roman"/>
          <w:color w:val="auto"/>
          <w:highlight w:val="none"/>
        </w:rPr>
        <w:t>对交割商品质量</w:t>
      </w:r>
      <w:r>
        <w:rPr>
          <w:rFonts w:hint="default" w:ascii="Times New Roman" w:hAnsi="Times New Roman" w:cs="Times New Roman"/>
          <w:color w:val="auto"/>
          <w:highlight w:val="none"/>
          <w:lang w:val="en-US" w:eastAsia="zh-CN"/>
        </w:rPr>
        <w:t>、数量</w:t>
      </w:r>
      <w:r>
        <w:rPr>
          <w:rFonts w:hint="default" w:ascii="Times New Roman" w:hAnsi="Times New Roman" w:cs="Times New Roman"/>
          <w:color w:val="auto"/>
          <w:highlight w:val="none"/>
        </w:rPr>
        <w:t>有异议的，首先与仓库</w:t>
      </w:r>
      <w:r>
        <w:rPr>
          <w:rFonts w:hint="default" w:ascii="Times New Roman" w:hAnsi="Times New Roman" w:cs="Times New Roman"/>
          <w:color w:val="auto"/>
          <w:highlight w:val="none"/>
          <w:lang w:val="en-US" w:eastAsia="zh-CN"/>
        </w:rPr>
        <w:t>和对应注册品牌企业</w:t>
      </w:r>
      <w:r>
        <w:rPr>
          <w:rFonts w:hint="default" w:ascii="Times New Roman" w:hAnsi="Times New Roman" w:cs="Times New Roman"/>
          <w:color w:val="auto"/>
          <w:highlight w:val="none"/>
        </w:rPr>
        <w:t>协商解决。协商不成的，</w:t>
      </w:r>
      <w:r>
        <w:rPr>
          <w:rFonts w:hint="default" w:ascii="Times New Roman" w:hAnsi="Times New Roman" w:cs="Times New Roman"/>
          <w:color w:val="auto"/>
          <w:highlight w:val="none"/>
          <w:lang w:val="en-US" w:eastAsia="zh-CN"/>
        </w:rPr>
        <w:t>买方</w:t>
      </w:r>
      <w:r>
        <w:rPr>
          <w:rFonts w:hint="default" w:ascii="Times New Roman" w:hAnsi="Times New Roman" w:cs="Times New Roman"/>
          <w:color w:val="auto"/>
          <w:highlight w:val="none"/>
        </w:rPr>
        <w:t>应当在</w:t>
      </w:r>
      <w:r>
        <w:rPr>
          <w:rFonts w:hint="default" w:ascii="Times New Roman" w:hAnsi="Times New Roman" w:cs="Times New Roman"/>
          <w:color w:val="auto"/>
          <w:highlight w:val="none"/>
          <w:lang w:val="en-US" w:eastAsia="zh-CN"/>
        </w:rPr>
        <w:t>交收日</w:t>
      </w:r>
      <w:r>
        <w:rPr>
          <w:rFonts w:hint="default" w:ascii="Times New Roman" w:hAnsi="Times New Roman" w:cs="Times New Roman"/>
          <w:highlight w:val="none"/>
          <w:lang w:val="en-US" w:eastAsia="zh-CN"/>
        </w:rPr>
        <w:t>起</w:t>
      </w:r>
      <w:r>
        <w:rPr>
          <w:rFonts w:hint="default" w:ascii="Times New Roman" w:hAnsi="Times New Roman" w:cs="Times New Roman"/>
          <w:color w:val="auto"/>
          <w:highlight w:val="none"/>
          <w:lang w:val="en-US" w:eastAsia="zh-CN"/>
        </w:rPr>
        <w:t>20</w:t>
      </w:r>
      <w:r>
        <w:rPr>
          <w:rFonts w:hint="default" w:ascii="Times New Roman" w:hAnsi="Times New Roman" w:cs="Times New Roman"/>
          <w:color w:val="auto"/>
          <w:highlight w:val="none"/>
        </w:rPr>
        <w:t>个工作日内（含当日）且</w:t>
      </w:r>
      <w:r>
        <w:rPr>
          <w:rFonts w:hint="default" w:ascii="Times New Roman" w:hAnsi="Times New Roman" w:cs="Times New Roman"/>
          <w:color w:val="auto"/>
          <w:highlight w:val="none"/>
          <w:lang w:val="en-US" w:eastAsia="zh-CN"/>
        </w:rPr>
        <w:t>商品</w:t>
      </w:r>
      <w:r>
        <w:rPr>
          <w:rFonts w:hint="default" w:ascii="Times New Roman" w:hAnsi="Times New Roman" w:cs="Times New Roman"/>
          <w:color w:val="auto"/>
          <w:highlight w:val="none"/>
        </w:rPr>
        <w:t>未出库的情况</w:t>
      </w:r>
      <w:r>
        <w:rPr>
          <w:rFonts w:hint="default" w:ascii="Times New Roman" w:hAnsi="Times New Roman" w:cs="Times New Roman"/>
          <w:color w:val="auto"/>
          <w:highlight w:val="none"/>
          <w:lang w:val="en-US" w:eastAsia="zh-CN"/>
        </w:rPr>
        <w:t>下</w:t>
      </w:r>
      <w:r>
        <w:rPr>
          <w:rFonts w:hint="default" w:ascii="Times New Roman" w:hAnsi="Times New Roman" w:eastAsia="仿宋_GB2312" w:cs="Times New Roman"/>
          <w:sz w:val="32"/>
          <w:szCs w:val="32"/>
          <w:highlight w:val="none"/>
        </w:rPr>
        <w:t>，以书面形式向交易所提出</w:t>
      </w:r>
      <w:r>
        <w:rPr>
          <w:rFonts w:hint="default" w:ascii="Times New Roman" w:hAnsi="Times New Roman" w:cs="Times New Roman"/>
          <w:sz w:val="32"/>
          <w:szCs w:val="32"/>
          <w:highlight w:val="none"/>
          <w:lang w:val="en-US" w:eastAsia="zh-CN"/>
        </w:rPr>
        <w:t>复检</w:t>
      </w:r>
      <w:r>
        <w:rPr>
          <w:rFonts w:hint="default" w:ascii="Times New Roman" w:hAnsi="Times New Roman" w:eastAsia="仿宋_GB2312" w:cs="Times New Roman"/>
          <w:sz w:val="32"/>
          <w:szCs w:val="32"/>
          <w:highlight w:val="none"/>
        </w:rPr>
        <w:t>申请。</w:t>
      </w:r>
      <w:r>
        <w:rPr>
          <w:rFonts w:hint="default" w:ascii="Times New Roman" w:hAnsi="Times New Roman" w:cs="Times New Roman"/>
          <w:sz w:val="32"/>
          <w:szCs w:val="32"/>
          <w:highlight w:val="none"/>
          <w:lang w:val="en-US" w:eastAsia="zh-CN"/>
        </w:rPr>
        <w:t>交易所</w:t>
      </w:r>
      <w:r>
        <w:rPr>
          <w:rFonts w:hint="default" w:ascii="Times New Roman" w:hAnsi="Times New Roman" w:cs="Times New Roman"/>
          <w:sz w:val="32"/>
          <w:szCs w:val="32"/>
          <w:highlight w:val="none"/>
          <w:lang w:eastAsia="zh-CN"/>
        </w:rPr>
        <w:t>受理</w:t>
      </w:r>
      <w:r>
        <w:rPr>
          <w:rFonts w:hint="default" w:ascii="Times New Roman" w:hAnsi="Times New Roman" w:cs="Times New Roman"/>
          <w:sz w:val="32"/>
          <w:szCs w:val="32"/>
          <w:highlight w:val="none"/>
          <w:lang w:val="en-US" w:eastAsia="zh-CN"/>
        </w:rPr>
        <w:t>复检</w:t>
      </w:r>
      <w:r>
        <w:rPr>
          <w:rFonts w:hint="default" w:ascii="Times New Roman" w:hAnsi="Times New Roman" w:cs="Times New Roman"/>
          <w:sz w:val="32"/>
          <w:szCs w:val="32"/>
          <w:highlight w:val="none"/>
          <w:lang w:eastAsia="zh-CN"/>
        </w:rPr>
        <w:t>申请</w:t>
      </w:r>
      <w:r>
        <w:rPr>
          <w:rFonts w:hint="default" w:ascii="Times New Roman" w:hAnsi="Times New Roman" w:cs="Times New Roman"/>
          <w:sz w:val="32"/>
          <w:szCs w:val="32"/>
          <w:highlight w:val="none"/>
          <w:lang w:val="en-US" w:eastAsia="zh-CN"/>
        </w:rPr>
        <w:t>后，相应的标准仓单予以冻结，直至争议解决。</w:t>
      </w:r>
      <w:r>
        <w:rPr>
          <w:rFonts w:hint="default" w:ascii="Times New Roman" w:hAnsi="Times New Roman" w:eastAsia="仿宋_GB2312" w:cs="Times New Roman"/>
          <w:sz w:val="32"/>
          <w:szCs w:val="32"/>
          <w:highlight w:val="none"/>
        </w:rPr>
        <w:t>未在规定时间内以规定方式提出申请的，视为</w:t>
      </w:r>
      <w:r>
        <w:rPr>
          <w:rFonts w:hint="default" w:ascii="Times New Roman" w:hAnsi="Times New Roman" w:cs="Times New Roman"/>
          <w:sz w:val="32"/>
          <w:szCs w:val="32"/>
          <w:highlight w:val="none"/>
          <w:lang w:val="en-US" w:eastAsia="zh-CN"/>
        </w:rPr>
        <w:t>买方</w:t>
      </w:r>
      <w:r>
        <w:rPr>
          <w:rFonts w:hint="default" w:ascii="Times New Roman" w:hAnsi="Times New Roman" w:eastAsia="仿宋_GB2312" w:cs="Times New Roman"/>
          <w:sz w:val="32"/>
          <w:szCs w:val="32"/>
          <w:highlight w:val="none"/>
        </w:rPr>
        <w:t>对</w:t>
      </w:r>
      <w:r>
        <w:rPr>
          <w:rFonts w:hint="default" w:ascii="Times New Roman" w:hAnsi="Times New Roman" w:cs="Times New Roman"/>
          <w:sz w:val="32"/>
          <w:szCs w:val="32"/>
          <w:highlight w:val="none"/>
          <w:lang w:val="en-US" w:eastAsia="zh-CN"/>
        </w:rPr>
        <w:t>交割</w:t>
      </w:r>
      <w:r>
        <w:rPr>
          <w:rFonts w:hint="default" w:ascii="Times New Roman" w:hAnsi="Times New Roman" w:eastAsia="仿宋_GB2312" w:cs="Times New Roman"/>
          <w:sz w:val="32"/>
          <w:szCs w:val="32"/>
          <w:highlight w:val="none"/>
        </w:rPr>
        <w:t>商品质量</w:t>
      </w:r>
      <w:r>
        <w:rPr>
          <w:rFonts w:hint="default" w:ascii="Times New Roman" w:hAnsi="Times New Roman" w:cs="Times New Roman"/>
          <w:sz w:val="32"/>
          <w:szCs w:val="32"/>
          <w:highlight w:val="none"/>
          <w:lang w:val="en-US" w:eastAsia="zh-CN"/>
        </w:rPr>
        <w:t>、数量</w:t>
      </w:r>
      <w:r>
        <w:rPr>
          <w:rFonts w:hint="default" w:ascii="Times New Roman" w:hAnsi="Times New Roman" w:eastAsia="仿宋_GB2312" w:cs="Times New Roman"/>
          <w:sz w:val="32"/>
          <w:szCs w:val="32"/>
          <w:highlight w:val="none"/>
        </w:rPr>
        <w:t>无异议</w:t>
      </w:r>
      <w:r>
        <w:rPr>
          <w:rFonts w:hint="default" w:ascii="Times New Roman" w:hAnsi="Times New Roman" w:cs="Times New Roman"/>
          <w:sz w:val="32"/>
          <w:szCs w:val="32"/>
          <w:highlight w:val="none"/>
          <w:lang w:eastAsia="zh-CN"/>
        </w:rPr>
        <w:t>，交易所不再受理对交割商品有异议的申请</w:t>
      </w:r>
      <w:r>
        <w:rPr>
          <w:rFonts w:hint="default" w:ascii="Times New Roman" w:hAnsi="Times New Roman" w:eastAsia="仿宋_GB2312" w:cs="Times New Roman"/>
          <w:sz w:val="32"/>
          <w:szCs w:val="32"/>
          <w:highlight w:val="none"/>
        </w:rPr>
        <w:t>。</w:t>
      </w: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ind w:left="0" w:leftChars="0" w:firstLine="640" w:firstLineChars="200"/>
        <w:textAlignment w:val="auto"/>
        <w:rPr>
          <w:rFonts w:hint="default" w:ascii="Times New Roman" w:hAnsi="Times New Roman" w:cs="Times New Roman"/>
          <w:highlight w:val="none"/>
          <w:lang w:val="en-US" w:eastAsia="zh-CN"/>
        </w:rPr>
      </w:pPr>
      <w:r>
        <w:rPr>
          <w:rFonts w:hint="default" w:ascii="Times New Roman" w:hAnsi="Times New Roman" w:cs="Times New Roman"/>
          <w:sz w:val="32"/>
          <w:szCs w:val="32"/>
          <w:highlight w:val="none"/>
          <w:lang w:val="en-US" w:eastAsia="zh-CN"/>
        </w:rPr>
        <w:t>复检</w:t>
      </w:r>
      <w:r>
        <w:rPr>
          <w:rFonts w:hint="default" w:ascii="Times New Roman" w:hAnsi="Times New Roman" w:eastAsia="仿宋_GB2312" w:cs="Times New Roman"/>
          <w:sz w:val="32"/>
          <w:szCs w:val="32"/>
          <w:highlight w:val="none"/>
        </w:rPr>
        <w:t>申请应当说明仓库名称和需要复检的商品数量、质量指标、生产</w:t>
      </w:r>
      <w:r>
        <w:rPr>
          <w:rFonts w:hint="default" w:ascii="Times New Roman" w:hAnsi="Times New Roman" w:cs="Times New Roman"/>
          <w:sz w:val="32"/>
          <w:szCs w:val="32"/>
          <w:highlight w:val="none"/>
          <w:lang w:val="en-US" w:eastAsia="zh-CN"/>
        </w:rPr>
        <w:t>厂家</w:t>
      </w:r>
      <w:r>
        <w:rPr>
          <w:rFonts w:hint="default" w:ascii="Times New Roman" w:hAnsi="Times New Roman" w:eastAsia="仿宋_GB2312" w:cs="Times New Roman"/>
          <w:sz w:val="32"/>
          <w:szCs w:val="32"/>
          <w:highlight w:val="none"/>
        </w:rPr>
        <w:t>和</w:t>
      </w:r>
      <w:r>
        <w:rPr>
          <w:rFonts w:hint="default" w:ascii="Times New Roman" w:hAnsi="Times New Roman" w:cs="Times New Roman"/>
          <w:sz w:val="32"/>
          <w:szCs w:val="32"/>
          <w:highlight w:val="none"/>
          <w:lang w:val="en-US" w:eastAsia="zh-CN"/>
        </w:rPr>
        <w:t>商品</w:t>
      </w:r>
      <w:r>
        <w:rPr>
          <w:rFonts w:hint="default" w:ascii="Times New Roman" w:hAnsi="Times New Roman" w:eastAsia="仿宋_GB2312" w:cs="Times New Roman"/>
          <w:sz w:val="32"/>
          <w:szCs w:val="32"/>
          <w:highlight w:val="none"/>
        </w:rPr>
        <w:t>所在垛位号等，留存联系方式，并加盖</w:t>
      </w:r>
      <w:r>
        <w:rPr>
          <w:rFonts w:hint="default" w:ascii="Times New Roman" w:hAnsi="Times New Roman" w:cs="Times New Roman"/>
          <w:sz w:val="32"/>
          <w:szCs w:val="32"/>
          <w:highlight w:val="none"/>
          <w:lang w:val="en-US" w:eastAsia="zh-CN"/>
        </w:rPr>
        <w:t>买方</w:t>
      </w:r>
      <w:r>
        <w:rPr>
          <w:rFonts w:hint="default" w:ascii="Times New Roman" w:hAnsi="Times New Roman" w:eastAsia="仿宋_GB2312" w:cs="Times New Roman"/>
          <w:sz w:val="32"/>
          <w:szCs w:val="32"/>
          <w:highlight w:val="none"/>
        </w:rPr>
        <w:t>公章。交易所委托指定质量检验机构进行复检，复检结果为解决争议的依据。复检费用由</w:t>
      </w:r>
      <w:r>
        <w:rPr>
          <w:rFonts w:hint="default" w:ascii="Times New Roman" w:hAnsi="Times New Roman" w:cs="Times New Roman"/>
          <w:sz w:val="32"/>
          <w:szCs w:val="32"/>
          <w:highlight w:val="none"/>
          <w:lang w:val="en-US" w:eastAsia="zh-CN"/>
        </w:rPr>
        <w:t>买方</w:t>
      </w:r>
      <w:r>
        <w:rPr>
          <w:rFonts w:hint="default" w:ascii="Times New Roman" w:hAnsi="Times New Roman" w:eastAsia="仿宋_GB2312" w:cs="Times New Roman"/>
          <w:sz w:val="32"/>
          <w:szCs w:val="32"/>
          <w:highlight w:val="none"/>
        </w:rPr>
        <w:t>先行垫付。</w:t>
      </w:r>
      <w:r>
        <w:rPr>
          <w:rFonts w:hint="default" w:ascii="Times New Roman" w:hAnsi="Times New Roman" w:cs="Times New Roman"/>
          <w:sz w:val="32"/>
          <w:szCs w:val="32"/>
          <w:highlight w:val="none"/>
          <w:lang w:val="en-US" w:eastAsia="zh-CN"/>
        </w:rPr>
        <w:t>质量</w:t>
      </w:r>
      <w:r>
        <w:rPr>
          <w:rFonts w:hint="default" w:ascii="Times New Roman" w:hAnsi="Times New Roman" w:cs="Times New Roman"/>
          <w:highlight w:val="none"/>
        </w:rPr>
        <w:t>复检结果与</w:t>
      </w:r>
      <w:r>
        <w:rPr>
          <w:rFonts w:hint="default" w:ascii="Times New Roman" w:hAnsi="Times New Roman" w:cs="Times New Roman"/>
          <w:highlight w:val="none"/>
          <w:lang w:val="en-US" w:eastAsia="zh-CN"/>
        </w:rPr>
        <w:t>交割质量标准</w:t>
      </w:r>
      <w:r>
        <w:rPr>
          <w:rFonts w:hint="default" w:ascii="Times New Roman" w:hAnsi="Times New Roman" w:cs="Times New Roman"/>
          <w:highlight w:val="none"/>
        </w:rPr>
        <w:t>相符的，由此产生的相关费用（检验费、差旅费和仓储费等）和损失由</w:t>
      </w:r>
      <w:r>
        <w:rPr>
          <w:rFonts w:hint="default" w:ascii="Times New Roman" w:hAnsi="Times New Roman" w:cs="Times New Roman"/>
          <w:highlight w:val="none"/>
          <w:lang w:val="en-US" w:eastAsia="zh-CN"/>
        </w:rPr>
        <w:t>买方</w:t>
      </w:r>
      <w:r>
        <w:rPr>
          <w:rFonts w:hint="default" w:ascii="Times New Roman" w:hAnsi="Times New Roman" w:cs="Times New Roman"/>
          <w:highlight w:val="none"/>
        </w:rPr>
        <w:t>负担；否则，由</w:t>
      </w:r>
      <w:r>
        <w:rPr>
          <w:rFonts w:hint="default" w:ascii="Times New Roman" w:hAnsi="Times New Roman" w:cs="Times New Roman"/>
          <w:highlight w:val="none"/>
          <w:lang w:val="en-US" w:eastAsia="zh-CN"/>
        </w:rPr>
        <w:t>注册品牌企业</w:t>
      </w:r>
      <w:r>
        <w:rPr>
          <w:rFonts w:hint="default" w:ascii="Times New Roman" w:hAnsi="Times New Roman" w:cs="Times New Roman"/>
          <w:highlight w:val="none"/>
        </w:rPr>
        <w:t>负担。</w:t>
      </w:r>
      <w:r>
        <w:rPr>
          <w:rFonts w:hint="default" w:ascii="Times New Roman" w:hAnsi="Times New Roman" w:eastAsia="仿宋_GB2312" w:cs="Times New Roman"/>
          <w:sz w:val="32"/>
          <w:szCs w:val="32"/>
          <w:highlight w:val="none"/>
          <w:lang w:val="en-US" w:eastAsia="zh-CN"/>
        </w:rPr>
        <w:t>数量复检结果</w:t>
      </w:r>
      <w:r>
        <w:rPr>
          <w:rFonts w:hint="default" w:ascii="Times New Roman" w:hAnsi="Times New Roman" w:cs="Times New Roman"/>
          <w:sz w:val="32"/>
          <w:szCs w:val="32"/>
          <w:highlight w:val="none"/>
          <w:lang w:val="en-US" w:eastAsia="zh-CN"/>
        </w:rPr>
        <w:t>合格</w:t>
      </w:r>
      <w:r>
        <w:rPr>
          <w:rFonts w:hint="default" w:ascii="Times New Roman" w:hAnsi="Times New Roman" w:eastAsia="仿宋_GB2312" w:cs="Times New Roman"/>
          <w:sz w:val="32"/>
          <w:szCs w:val="32"/>
          <w:highlight w:val="none"/>
          <w:lang w:val="en-US" w:eastAsia="zh-CN"/>
        </w:rPr>
        <w:t>的，由此产生的相关费用</w:t>
      </w:r>
      <w:r>
        <w:rPr>
          <w:rFonts w:hint="default" w:ascii="Times New Roman" w:hAnsi="Times New Roman" w:cs="Times New Roman"/>
          <w:highlight w:val="none"/>
        </w:rPr>
        <w:t>（检验费、差旅费和仓储费等）</w:t>
      </w:r>
      <w:r>
        <w:rPr>
          <w:rFonts w:hint="default" w:ascii="Times New Roman" w:hAnsi="Times New Roman" w:eastAsia="仿宋_GB2312" w:cs="Times New Roman"/>
          <w:sz w:val="32"/>
          <w:szCs w:val="32"/>
          <w:highlight w:val="none"/>
          <w:lang w:val="en-US" w:eastAsia="zh-CN"/>
        </w:rPr>
        <w:t>和损失由</w:t>
      </w:r>
      <w:r>
        <w:rPr>
          <w:rFonts w:hint="default" w:ascii="Times New Roman" w:hAnsi="Times New Roman" w:cs="Times New Roman"/>
          <w:sz w:val="32"/>
          <w:szCs w:val="32"/>
          <w:highlight w:val="none"/>
          <w:lang w:val="en-US" w:eastAsia="zh-CN"/>
        </w:rPr>
        <w:t>买方</w:t>
      </w:r>
      <w:r>
        <w:rPr>
          <w:rFonts w:hint="default" w:ascii="Times New Roman" w:hAnsi="Times New Roman" w:eastAsia="仿宋_GB2312" w:cs="Times New Roman"/>
          <w:sz w:val="32"/>
          <w:szCs w:val="32"/>
          <w:highlight w:val="none"/>
          <w:lang w:val="en-US" w:eastAsia="zh-CN"/>
        </w:rPr>
        <w:t>负担；否则，由</w:t>
      </w:r>
      <w:r>
        <w:rPr>
          <w:rFonts w:hint="default" w:ascii="Times New Roman" w:hAnsi="Times New Roman" w:cs="Times New Roman"/>
          <w:sz w:val="32"/>
          <w:szCs w:val="32"/>
          <w:highlight w:val="none"/>
          <w:lang w:val="en-US" w:eastAsia="zh-CN"/>
        </w:rPr>
        <w:t>仓库</w:t>
      </w:r>
      <w:r>
        <w:rPr>
          <w:rFonts w:hint="default" w:ascii="Times New Roman" w:hAnsi="Times New Roman" w:eastAsia="仿宋_GB2312" w:cs="Times New Roman"/>
          <w:sz w:val="32"/>
          <w:szCs w:val="32"/>
          <w:highlight w:val="none"/>
          <w:lang w:val="en-US" w:eastAsia="zh-CN"/>
        </w:rPr>
        <w:t>负担。</w:t>
      </w:r>
    </w:p>
    <w:bookmarkEnd w:id="1"/>
    <w:p>
      <w:pPr>
        <w:keepNext w:val="0"/>
        <w:keepLines w:val="0"/>
        <w:pageBreakBefore w:val="0"/>
        <w:widowControl w:val="0"/>
        <w:numPr>
          <w:ilvl w:val="0"/>
          <w:numId w:val="2"/>
        </w:numPr>
        <w:kinsoku/>
        <w:wordWrap/>
        <w:overflowPunct/>
        <w:topLinePunct w:val="0"/>
        <w:autoSpaceDE/>
        <w:autoSpaceDN/>
        <w:bidi w:val="0"/>
        <w:adjustRightInd/>
        <w:snapToGrid/>
        <w:ind w:left="0" w:leftChars="0" w:firstLine="640" w:firstLineChars="200"/>
        <w:textAlignment w:val="auto"/>
        <w:rPr>
          <w:rFonts w:hint="default" w:ascii="Times New Roman" w:hAnsi="Times New Roman" w:cs="Times New Roman"/>
          <w:highlight w:val="none"/>
        </w:rPr>
      </w:pPr>
      <w:r>
        <w:rPr>
          <w:rFonts w:hint="default" w:ascii="Times New Roman" w:hAnsi="Times New Roman" w:cs="Times New Roman"/>
          <w:highlight w:val="none"/>
          <w:lang w:val="en-US" w:eastAsia="zh-CN"/>
        </w:rPr>
        <w:t>铂</w:t>
      </w:r>
      <w:r>
        <w:rPr>
          <w:rFonts w:hint="default" w:ascii="Times New Roman" w:hAnsi="Times New Roman" w:cs="Times New Roman"/>
          <w:highlight w:val="none"/>
        </w:rPr>
        <w:t>从仓库出库时，持有《提货通知单》或者提货密码的货主应当在实际提货日5个自然日</w:t>
      </w:r>
      <w:r>
        <w:rPr>
          <w:rFonts w:hint="default" w:ascii="Times New Roman" w:hAnsi="Times New Roman" w:cs="Times New Roman"/>
          <w:highlight w:val="none"/>
          <w:lang w:val="en-US" w:eastAsia="zh-CN"/>
        </w:rPr>
        <w:t>前</w:t>
      </w:r>
      <w:r>
        <w:rPr>
          <w:rFonts w:hint="default" w:ascii="Times New Roman" w:hAnsi="Times New Roman" w:cs="Times New Roman"/>
          <w:highlight w:val="none"/>
        </w:rPr>
        <w:t>与仓库联系有关出库事宜，并在标准仓单注销日后10个工作日内（含当日）到仓库提货。</w:t>
      </w:r>
    </w:p>
    <w:p>
      <w:pPr>
        <w:numPr>
          <w:ilvl w:val="0"/>
          <w:numId w:val="2"/>
        </w:numPr>
        <w:bidi w:val="0"/>
        <w:ind w:firstLine="640" w:firstLineChars="200"/>
        <w:rPr>
          <w:rFonts w:hint="default" w:ascii="Times New Roman" w:hAnsi="Times New Roman" w:cs="Times New Roman"/>
          <w:highlight w:val="none"/>
        </w:rPr>
      </w:pPr>
      <w:r>
        <w:rPr>
          <w:rFonts w:hint="default" w:ascii="Times New Roman" w:hAnsi="Times New Roman" w:cs="Times New Roman"/>
          <w:highlight w:val="none"/>
          <w:lang w:val="en-US" w:eastAsia="zh-CN"/>
        </w:rPr>
        <w:t>铂</w:t>
      </w:r>
      <w:r>
        <w:rPr>
          <w:rFonts w:hint="default" w:ascii="Times New Roman" w:hAnsi="Times New Roman" w:cs="Times New Roman"/>
          <w:highlight w:val="none"/>
        </w:rPr>
        <w:t>出库完成后，仓库应与货主对相关事宜进行书面确认，并妥善保存相关材料。</w:t>
      </w:r>
    </w:p>
    <w:p>
      <w:pPr>
        <w:pStyle w:val="2"/>
        <w:rPr>
          <w:rFonts w:hint="default"/>
        </w:rPr>
      </w:pPr>
    </w:p>
    <w:p>
      <w:pPr>
        <w:bidi w:val="0"/>
        <w:ind w:left="0" w:leftChars="0" w:firstLine="0" w:firstLineChars="0"/>
        <w:jc w:val="center"/>
        <w:rPr>
          <w:rFonts w:hint="default" w:ascii="Times New Roman" w:hAnsi="Times New Roman" w:eastAsia="黑体" w:cs="Times New Roman"/>
          <w:highlight w:val="none"/>
        </w:rPr>
      </w:pPr>
      <w:r>
        <w:rPr>
          <w:rFonts w:hint="default" w:ascii="Times New Roman" w:hAnsi="Times New Roman" w:eastAsia="黑体" w:cs="Times New Roman"/>
          <w:highlight w:val="none"/>
        </w:rPr>
        <w:t>第三节 厂库标准仓单交割</w:t>
      </w:r>
    </w:p>
    <w:p>
      <w:pPr>
        <w:keepNext w:val="0"/>
        <w:keepLines w:val="0"/>
        <w:pageBreakBefore w:val="0"/>
        <w:widowControl w:val="0"/>
        <w:numPr>
          <w:ilvl w:val="0"/>
          <w:numId w:val="2"/>
        </w:numPr>
        <w:kinsoku/>
        <w:wordWrap/>
        <w:overflowPunct/>
        <w:topLinePunct w:val="0"/>
        <w:autoSpaceDE/>
        <w:autoSpaceDN/>
        <w:bidi w:val="0"/>
        <w:adjustRightInd/>
        <w:snapToGrid/>
        <w:ind w:left="0" w:leftChars="0" w:firstLine="640" w:firstLineChars="200"/>
        <w:textAlignment w:val="auto"/>
        <w:rPr>
          <w:rFonts w:hint="default" w:ascii="Times New Roman" w:hAnsi="Times New Roman" w:cs="Times New Roman"/>
          <w:highlight w:val="none"/>
        </w:rPr>
      </w:pPr>
      <w:r>
        <w:rPr>
          <w:rFonts w:hint="default" w:ascii="Times New Roman" w:hAnsi="Times New Roman" w:cs="Times New Roman"/>
          <w:highlight w:val="none"/>
        </w:rPr>
        <w:t>申请注册标准仓单的厂库应当向交易所提供交易所认可的银行履约担保函或者其它担保方式。</w:t>
      </w:r>
    </w:p>
    <w:p>
      <w:pPr>
        <w:keepNext w:val="0"/>
        <w:keepLines w:val="0"/>
        <w:pageBreakBefore w:val="0"/>
        <w:widowControl w:val="0"/>
        <w:numPr>
          <w:ilvl w:val="0"/>
          <w:numId w:val="2"/>
        </w:numPr>
        <w:kinsoku/>
        <w:wordWrap/>
        <w:overflowPunct/>
        <w:topLinePunct w:val="0"/>
        <w:autoSpaceDE/>
        <w:autoSpaceDN/>
        <w:bidi w:val="0"/>
        <w:adjustRightInd/>
        <w:snapToGrid/>
        <w:ind w:left="0" w:leftChars="0" w:firstLine="640" w:firstLineChars="200"/>
        <w:textAlignment w:val="auto"/>
        <w:rPr>
          <w:rFonts w:hint="default" w:ascii="Times New Roman" w:hAnsi="Times New Roman" w:cs="Times New Roman"/>
          <w:highlight w:val="none"/>
        </w:rPr>
      </w:pPr>
      <w:r>
        <w:rPr>
          <w:rFonts w:hint="default" w:ascii="Times New Roman" w:hAnsi="Times New Roman" w:cs="Times New Roman"/>
          <w:highlight w:val="none"/>
          <w:lang w:val="en-US" w:eastAsia="zh-CN"/>
        </w:rPr>
        <w:t>铂</w:t>
      </w:r>
      <w:r>
        <w:rPr>
          <w:rFonts w:hint="default" w:ascii="Times New Roman" w:hAnsi="Times New Roman" w:cs="Times New Roman"/>
          <w:highlight w:val="none"/>
        </w:rPr>
        <w:t>从厂库出库时，货主应当在标准仓单注销日后（不含注销日）的</w:t>
      </w:r>
      <w:r>
        <w:rPr>
          <w:rFonts w:hint="default" w:ascii="Times New Roman" w:hAnsi="Times New Roman" w:cs="Times New Roman"/>
          <w:highlight w:val="none"/>
          <w:lang w:val="en-US" w:eastAsia="zh-CN"/>
        </w:rPr>
        <w:t>4</w:t>
      </w:r>
      <w:r>
        <w:rPr>
          <w:rFonts w:hint="default" w:ascii="Times New Roman" w:hAnsi="Times New Roman" w:cs="Times New Roman"/>
          <w:highlight w:val="none"/>
        </w:rPr>
        <w:t>个自然日内（含当日）到厂库提货。</w:t>
      </w:r>
    </w:p>
    <w:p>
      <w:pPr>
        <w:rPr>
          <w:rFonts w:hint="default" w:ascii="Times New Roman" w:hAnsi="Times New Roman" w:eastAsia="仿宋_GB2312" w:cs="Times New Roman"/>
          <w:sz w:val="32"/>
          <w:highlight w:val="none"/>
          <w:lang w:val="en-US" w:eastAsia="zh-CN"/>
        </w:rPr>
      </w:pPr>
      <w:r>
        <w:rPr>
          <w:rFonts w:hint="default" w:ascii="Times New Roman" w:hAnsi="Times New Roman" w:cs="Times New Roman"/>
          <w:highlight w:val="none"/>
          <w:lang w:val="en-US" w:eastAsia="zh-CN"/>
        </w:rPr>
        <w:t>铂</w:t>
      </w:r>
      <w:r>
        <w:rPr>
          <w:rFonts w:hint="default" w:ascii="Times New Roman" w:hAnsi="Times New Roman" w:cs="Times New Roman"/>
          <w:highlight w:val="none"/>
        </w:rPr>
        <w:t>厂库应当在标准仓单注销日后（不含注销日）的</w:t>
      </w:r>
      <w:r>
        <w:rPr>
          <w:rFonts w:hint="default" w:ascii="Times New Roman" w:hAnsi="Times New Roman" w:cs="Times New Roman"/>
          <w:highlight w:val="none"/>
          <w:lang w:val="en-US" w:eastAsia="zh-CN"/>
        </w:rPr>
        <w:t>4</w:t>
      </w:r>
      <w:r>
        <w:rPr>
          <w:rFonts w:hint="default" w:ascii="Times New Roman" w:hAnsi="Times New Roman" w:cs="Times New Roman"/>
          <w:highlight w:val="none"/>
        </w:rPr>
        <w:t>个自然日内（含当日）开始发货。厂库应当按照合约要求的交割质量标准</w:t>
      </w:r>
      <w:r>
        <w:rPr>
          <w:rFonts w:hint="default" w:ascii="Times New Roman" w:hAnsi="Times New Roman" w:cs="Times New Roman"/>
          <w:highlight w:val="none"/>
          <w:lang w:val="en-US" w:eastAsia="zh-CN"/>
        </w:rPr>
        <w:t>足量</w:t>
      </w:r>
      <w:r>
        <w:rPr>
          <w:rFonts w:hint="default" w:ascii="Times New Roman" w:hAnsi="Times New Roman" w:cs="Times New Roman"/>
          <w:highlight w:val="none"/>
        </w:rPr>
        <w:t>发货</w:t>
      </w:r>
      <w:r>
        <w:rPr>
          <w:rFonts w:hint="default" w:ascii="Times New Roman" w:hAnsi="Times New Roman" w:cs="Times New Roman"/>
          <w:highlight w:val="none"/>
          <w:lang w:eastAsia="zh-CN"/>
        </w:rPr>
        <w:t>，</w:t>
      </w:r>
      <w:r>
        <w:rPr>
          <w:rFonts w:hint="default" w:ascii="Times New Roman" w:hAnsi="Times New Roman" w:eastAsia="仿宋_GB2312" w:cs="Times New Roman"/>
          <w:sz w:val="32"/>
          <w:highlight w:val="none"/>
          <w:lang w:val="en-US" w:eastAsia="zh-CN"/>
        </w:rPr>
        <w:t>出库商品重量以厂库称重为准。</w:t>
      </w:r>
    </w:p>
    <w:p>
      <w:pPr>
        <w:pStyle w:val="2"/>
        <w:keepNext w:val="0"/>
        <w:keepLines w:val="0"/>
        <w:pageBreakBefore w:val="0"/>
        <w:widowControl w:val="0"/>
        <w:kinsoku/>
        <w:wordWrap/>
        <w:overflowPunct/>
        <w:topLinePunct w:val="0"/>
        <w:autoSpaceDE/>
        <w:autoSpaceDN/>
        <w:bidi w:val="0"/>
        <w:adjustRightInd/>
        <w:snapToGrid/>
        <w:ind w:left="0" w:leftChars="0" w:firstLine="640" w:firstLineChars="200"/>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厂库应当在货主的监督下进行抽样、取样，具体操作按照有关标准和相关作业指导文件执行，经双方确认将样品封存，并将样品保留至发货日后的</w:t>
      </w:r>
      <w:r>
        <w:rPr>
          <w:rFonts w:hint="default" w:ascii="Times New Roman" w:hAnsi="Times New Roman" w:eastAsia="仿宋_GB2312" w:cs="Times New Roman"/>
          <w:sz w:val="32"/>
          <w:szCs w:val="32"/>
          <w:highlight w:val="none"/>
          <w:lang w:val="en-US" w:eastAsia="zh-CN"/>
        </w:rPr>
        <w:t>30</w:t>
      </w:r>
      <w:r>
        <w:rPr>
          <w:rFonts w:hint="default" w:ascii="Times New Roman" w:hAnsi="Times New Roman" w:eastAsia="仿宋_GB2312" w:cs="Times New Roman"/>
          <w:sz w:val="32"/>
          <w:szCs w:val="32"/>
          <w:highlight w:val="none"/>
        </w:rPr>
        <w:t>个自然日。</w:t>
      </w:r>
      <w:r>
        <w:rPr>
          <w:rFonts w:hint="default" w:eastAsia="仿宋_GB2312" w:cs="Times New Roman"/>
          <w:sz w:val="32"/>
          <w:szCs w:val="32"/>
          <w:highlight w:val="none"/>
          <w:lang w:val="en-US" w:eastAsia="zh-CN"/>
        </w:rPr>
        <w:t>货主未到场监督</w:t>
      </w:r>
      <w:r>
        <w:rPr>
          <w:rFonts w:hint="default" w:ascii="Times New Roman" w:hAnsi="Times New Roman" w:eastAsia="仿宋_GB2312" w:cs="Times New Roman"/>
          <w:sz w:val="32"/>
          <w:szCs w:val="32"/>
          <w:highlight w:val="none"/>
        </w:rPr>
        <w:t>的，视为对</w:t>
      </w:r>
      <w:r>
        <w:rPr>
          <w:rFonts w:hint="default" w:eastAsia="仿宋_GB2312" w:cs="Times New Roman"/>
          <w:sz w:val="32"/>
          <w:szCs w:val="32"/>
          <w:highlight w:val="none"/>
          <w:lang w:val="en-US" w:eastAsia="zh-CN"/>
        </w:rPr>
        <w:t>封存的样品无异议</w:t>
      </w:r>
      <w:r>
        <w:rPr>
          <w:rFonts w:hint="default" w:ascii="Times New Roman" w:hAnsi="Times New Roman" w:eastAsia="仿宋_GB2312" w:cs="Times New Roman"/>
          <w:sz w:val="32"/>
          <w:szCs w:val="32"/>
          <w:highlight w:val="none"/>
        </w:rPr>
        <w:t>。</w:t>
      </w:r>
    </w:p>
    <w:p>
      <w:pPr>
        <w:pStyle w:val="2"/>
        <w:keepNext w:val="0"/>
        <w:keepLines w:val="0"/>
        <w:pageBreakBefore w:val="0"/>
        <w:widowControl w:val="0"/>
        <w:kinsoku/>
        <w:wordWrap/>
        <w:overflowPunct/>
        <w:topLinePunct w:val="0"/>
        <w:autoSpaceDE/>
        <w:autoSpaceDN/>
        <w:bidi w:val="0"/>
        <w:adjustRightInd/>
        <w:snapToGrid/>
        <w:ind w:left="0" w:leftChars="0" w:firstLine="640" w:firstLineChars="200"/>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货主对厂库出库商品质量有异议的，首先与厂库协商解决。协商不成的，货主应当在按照规定封存样品后（不含当日）的10个工作日内</w:t>
      </w:r>
      <w:r>
        <w:rPr>
          <w:rFonts w:hint="default" w:eastAsia="仿宋_GB2312" w:cs="Times New Roman"/>
          <w:sz w:val="32"/>
          <w:szCs w:val="32"/>
          <w:highlight w:val="none"/>
          <w:lang w:eastAsia="zh-CN"/>
        </w:rPr>
        <w:t>（</w:t>
      </w:r>
      <w:r>
        <w:rPr>
          <w:rFonts w:hint="default" w:eastAsia="仿宋_GB2312" w:cs="Times New Roman"/>
          <w:sz w:val="32"/>
          <w:szCs w:val="32"/>
          <w:highlight w:val="none"/>
          <w:lang w:val="en-US" w:eastAsia="zh-CN"/>
        </w:rPr>
        <w:t>含当日</w:t>
      </w:r>
      <w:r>
        <w:rPr>
          <w:rFonts w:hint="default"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rPr>
        <w:t>以书面形式向交易所提出复检申请。</w:t>
      </w:r>
      <w:r>
        <w:rPr>
          <w:rFonts w:hint="default" w:eastAsia="仿宋_GB2312" w:cs="Times New Roman"/>
          <w:sz w:val="32"/>
          <w:szCs w:val="32"/>
          <w:highlight w:val="none"/>
          <w:lang w:val="en-US" w:eastAsia="zh-CN"/>
        </w:rPr>
        <w:t>未在规定时间内以规定方式提出申请的，视为货主对出库商品质量无异议。</w:t>
      </w:r>
      <w:r>
        <w:rPr>
          <w:rFonts w:hint="default" w:ascii="Times New Roman" w:hAnsi="Times New Roman" w:eastAsia="仿宋_GB2312" w:cs="Times New Roman"/>
          <w:sz w:val="32"/>
          <w:szCs w:val="32"/>
          <w:highlight w:val="none"/>
        </w:rPr>
        <w:t>交易所委托指定质量检验机构对封存的样品进行复检，并以该样品</w:t>
      </w:r>
      <w:r>
        <w:rPr>
          <w:rFonts w:hint="default" w:eastAsia="仿宋_GB2312" w:cs="Times New Roman"/>
          <w:sz w:val="32"/>
          <w:szCs w:val="32"/>
          <w:highlight w:val="none"/>
          <w:lang w:val="en-US" w:eastAsia="zh-CN"/>
        </w:rPr>
        <w:t>复检</w:t>
      </w:r>
      <w:r>
        <w:rPr>
          <w:rFonts w:hint="default" w:ascii="Times New Roman" w:hAnsi="Times New Roman" w:eastAsia="仿宋_GB2312" w:cs="Times New Roman"/>
          <w:sz w:val="32"/>
          <w:szCs w:val="32"/>
          <w:highlight w:val="none"/>
        </w:rPr>
        <w:t>结果作为解决争议的依据。复检费用由货主先行垫付。</w:t>
      </w:r>
    </w:p>
    <w:p>
      <w:pPr>
        <w:pStyle w:val="7"/>
        <w:spacing w:beforeAutospacing="0" w:afterAutospacing="0" w:line="560" w:lineRule="exact"/>
        <w:ind w:firstLine="640" w:firstLineChars="200"/>
        <w:jc w:val="both"/>
        <w:rPr>
          <w:rFonts w:hint="default" w:ascii="Times New Roman" w:hAnsi="Times New Roman" w:cs="Times New Roman"/>
          <w:highlight w:val="none"/>
        </w:rPr>
      </w:pPr>
      <w:r>
        <w:rPr>
          <w:rFonts w:hint="default" w:ascii="Times New Roman" w:hAnsi="Times New Roman" w:eastAsia="仿宋_GB2312" w:cs="Times New Roman"/>
          <w:sz w:val="32"/>
          <w:szCs w:val="32"/>
          <w:highlight w:val="none"/>
        </w:rPr>
        <w:t>复检结果与</w:t>
      </w:r>
      <w:r>
        <w:rPr>
          <w:rFonts w:hint="default" w:ascii="Times New Roman" w:hAnsi="Times New Roman" w:cs="Times New Roman"/>
          <w:sz w:val="32"/>
          <w:szCs w:val="32"/>
          <w:highlight w:val="none"/>
          <w:lang w:val="en-US" w:eastAsia="zh-CN"/>
        </w:rPr>
        <w:t>交割质量标准</w:t>
      </w:r>
      <w:r>
        <w:rPr>
          <w:rFonts w:hint="default" w:ascii="Times New Roman" w:hAnsi="Times New Roman" w:eastAsia="仿宋_GB2312" w:cs="Times New Roman"/>
          <w:sz w:val="32"/>
          <w:szCs w:val="32"/>
          <w:highlight w:val="none"/>
        </w:rPr>
        <w:t>相符的，由此产生的相关费用（检验费、差旅费和仓储费等）和损失由货主负担；否则，由厂库负担。</w:t>
      </w:r>
    </w:p>
    <w:p>
      <w:pPr>
        <w:keepNext w:val="0"/>
        <w:keepLines w:val="0"/>
        <w:pageBreakBefore w:val="0"/>
        <w:widowControl w:val="0"/>
        <w:numPr>
          <w:ilvl w:val="0"/>
          <w:numId w:val="2"/>
        </w:numPr>
        <w:kinsoku/>
        <w:wordWrap/>
        <w:overflowPunct/>
        <w:topLinePunct w:val="0"/>
        <w:autoSpaceDE/>
        <w:autoSpaceDN/>
        <w:bidi w:val="0"/>
        <w:adjustRightInd/>
        <w:snapToGrid/>
        <w:ind w:left="0" w:leftChars="0" w:firstLine="640" w:firstLineChars="200"/>
        <w:textAlignment w:val="auto"/>
        <w:rPr>
          <w:rFonts w:hint="default" w:ascii="Times New Roman" w:hAnsi="Times New Roman" w:cs="Times New Roman"/>
          <w:highlight w:val="none"/>
        </w:rPr>
      </w:pPr>
      <w:r>
        <w:rPr>
          <w:rFonts w:hint="default" w:ascii="Times New Roman" w:hAnsi="Times New Roman" w:cs="Times New Roman"/>
          <w:highlight w:val="none"/>
        </w:rPr>
        <w:t>厂库以不高于日发货速度向货主发货时，货主因运输能力等原因无法按时提货，货主应当向厂库支付滞纳金。滞纳金按照如下方法确定：</w:t>
      </w:r>
    </w:p>
    <w:p>
      <w:pPr>
        <w:tabs>
          <w:tab w:val="left" w:pos="960"/>
        </w:tabs>
        <w:bidi w:val="0"/>
        <w:rPr>
          <w:rFonts w:hint="default" w:ascii="Times New Roman" w:hAnsi="Times New Roman" w:cs="Times New Roman"/>
          <w:highlight w:val="none"/>
        </w:rPr>
      </w:pPr>
      <w:r>
        <w:rPr>
          <w:rFonts w:hint="default" w:ascii="Times New Roman" w:hAnsi="Times New Roman" w:cs="Times New Roman"/>
          <w:highlight w:val="none"/>
        </w:rPr>
        <w:t>（一）从开始提货之日（含当日）起，每日按照截至当日应提而未提的商品数量乘以相应的滞纳金标准计算出当日滞纳金金额；</w:t>
      </w:r>
    </w:p>
    <w:p>
      <w:pPr>
        <w:tabs>
          <w:tab w:val="left" w:pos="960"/>
        </w:tabs>
        <w:bidi w:val="0"/>
        <w:rPr>
          <w:rFonts w:hint="default" w:ascii="Times New Roman" w:hAnsi="Times New Roman" w:cs="Times New Roman"/>
          <w:highlight w:val="none"/>
        </w:rPr>
      </w:pPr>
      <w:r>
        <w:rPr>
          <w:rFonts w:hint="default" w:ascii="Times New Roman" w:hAnsi="Times New Roman" w:cs="Times New Roman"/>
          <w:highlight w:val="none"/>
        </w:rPr>
        <w:t>（二）直至完成提货之日（不含当日），在加总每日滞纳金金额的基础上，计算出货主应当向厂库支付的滞纳金总额。</w:t>
      </w:r>
    </w:p>
    <w:p>
      <w:pPr>
        <w:bidi w:val="0"/>
        <w:rPr>
          <w:rFonts w:hint="default" w:ascii="Times New Roman" w:hAnsi="Times New Roman" w:cs="Times New Roman"/>
          <w:highlight w:val="none"/>
        </w:rPr>
      </w:pPr>
      <w:r>
        <w:rPr>
          <w:rFonts w:hint="default" w:ascii="Times New Roman" w:hAnsi="Times New Roman" w:cs="Times New Roman"/>
          <w:highlight w:val="none"/>
        </w:rPr>
        <w:t>滞纳金标准为</w:t>
      </w:r>
      <w:r>
        <w:rPr>
          <w:rFonts w:hint="default" w:ascii="Times New Roman" w:hAnsi="Times New Roman" w:cs="Times New Roman"/>
          <w:highlight w:val="none"/>
          <w:lang w:val="en-US" w:eastAsia="zh-CN"/>
        </w:rPr>
        <w:t>0.2</w:t>
      </w:r>
      <w:r>
        <w:rPr>
          <w:rFonts w:hint="default" w:ascii="Times New Roman" w:hAnsi="Times New Roman" w:cs="Times New Roman"/>
          <w:highlight w:val="none"/>
        </w:rPr>
        <w:t>元/</w:t>
      </w:r>
      <w:r>
        <w:rPr>
          <w:rFonts w:hint="default" w:ascii="Times New Roman" w:hAnsi="Times New Roman" w:cs="Times New Roman"/>
          <w:highlight w:val="none"/>
          <w:lang w:eastAsia="zh-CN"/>
        </w:rPr>
        <w:t>克</w:t>
      </w:r>
      <w:r>
        <w:rPr>
          <w:rFonts w:hint="default" w:ascii="Times New Roman" w:hAnsi="Times New Roman" w:cs="Times New Roman"/>
          <w:highlight w:val="none"/>
        </w:rPr>
        <w:t>•天。</w:t>
      </w:r>
    </w:p>
    <w:p>
      <w:pPr>
        <w:keepNext w:val="0"/>
        <w:keepLines w:val="0"/>
        <w:pageBreakBefore w:val="0"/>
        <w:widowControl w:val="0"/>
        <w:numPr>
          <w:ilvl w:val="0"/>
          <w:numId w:val="2"/>
        </w:numPr>
        <w:kinsoku/>
        <w:wordWrap/>
        <w:overflowPunct/>
        <w:topLinePunct w:val="0"/>
        <w:autoSpaceDE/>
        <w:autoSpaceDN/>
        <w:bidi w:val="0"/>
        <w:adjustRightInd/>
        <w:snapToGrid/>
        <w:ind w:left="0" w:leftChars="0" w:firstLine="640" w:firstLineChars="200"/>
        <w:textAlignment w:val="auto"/>
        <w:rPr>
          <w:rFonts w:hint="default" w:ascii="Times New Roman" w:hAnsi="Times New Roman" w:cs="Times New Roman"/>
          <w:highlight w:val="none"/>
        </w:rPr>
      </w:pPr>
      <w:r>
        <w:rPr>
          <w:rFonts w:hint="default" w:ascii="Times New Roman" w:hAnsi="Times New Roman" w:cs="Times New Roman"/>
          <w:highlight w:val="none"/>
        </w:rPr>
        <w:t>在提货期限届满之日后（不含当日）且在标准仓单注销日后（不含注销日）的</w:t>
      </w:r>
      <w:r>
        <w:rPr>
          <w:rFonts w:hint="default" w:ascii="Times New Roman" w:hAnsi="Times New Roman" w:cs="Times New Roman"/>
          <w:highlight w:val="none"/>
          <w:lang w:val="en-US" w:eastAsia="zh-CN"/>
        </w:rPr>
        <w:t>19</w:t>
      </w:r>
      <w:r>
        <w:rPr>
          <w:rFonts w:hint="default" w:ascii="Times New Roman" w:hAnsi="Times New Roman" w:cs="Times New Roman"/>
          <w:highlight w:val="none"/>
        </w:rPr>
        <w:t>个自然日内（含当日）到厂库提货，货主应当向厂库支付滞纳金，厂库仍应按照期货标准承担有关的</w:t>
      </w:r>
      <w:r>
        <w:rPr>
          <w:rFonts w:hint="default" w:ascii="Times New Roman" w:hAnsi="Times New Roman" w:cs="Times New Roman"/>
          <w:highlight w:val="none"/>
          <w:lang w:val="en-US" w:eastAsia="zh-CN"/>
        </w:rPr>
        <w:t>商品质量、</w:t>
      </w:r>
      <w:r>
        <w:rPr>
          <w:rFonts w:hint="default" w:ascii="Times New Roman" w:hAnsi="Times New Roman" w:cs="Times New Roman"/>
          <w:highlight w:val="none"/>
        </w:rPr>
        <w:t>发货时间和发货速度的责任，直至发完全部期货商品。滞纳金按照如下方法确定：</w:t>
      </w:r>
    </w:p>
    <w:p>
      <w:pPr>
        <w:bidi w:val="0"/>
        <w:rPr>
          <w:rFonts w:hint="default" w:ascii="Times New Roman" w:hAnsi="Times New Roman" w:cs="Times New Roman"/>
          <w:highlight w:val="none"/>
        </w:rPr>
      </w:pPr>
      <w:r>
        <w:rPr>
          <w:rFonts w:hint="default" w:ascii="Times New Roman" w:hAnsi="Times New Roman" w:cs="Times New Roman"/>
          <w:highlight w:val="none"/>
        </w:rPr>
        <w:t>（一）从提货期限届满之日（含当日）起，每日按照截至当日应提而未提的商品数量乘以相应的滞纳金标准计算出当日滞纳金金额；</w:t>
      </w:r>
    </w:p>
    <w:p>
      <w:pPr>
        <w:bidi w:val="0"/>
        <w:rPr>
          <w:rFonts w:hint="default" w:ascii="Times New Roman" w:hAnsi="Times New Roman" w:cs="Times New Roman"/>
          <w:highlight w:val="none"/>
        </w:rPr>
      </w:pPr>
      <w:r>
        <w:rPr>
          <w:rFonts w:hint="default" w:ascii="Times New Roman" w:hAnsi="Times New Roman" w:cs="Times New Roman"/>
          <w:highlight w:val="none"/>
        </w:rPr>
        <w:t>（二）直至完成提货之日（不含当日），在加总每日滞纳金金额的基础上，计算出货主应当向厂库支付的滞纳金总额。</w:t>
      </w:r>
    </w:p>
    <w:p>
      <w:pPr>
        <w:bidi w:val="0"/>
        <w:rPr>
          <w:rFonts w:hint="default" w:ascii="Times New Roman" w:hAnsi="Times New Roman" w:cs="Times New Roman"/>
          <w:highlight w:val="none"/>
        </w:rPr>
      </w:pPr>
      <w:r>
        <w:rPr>
          <w:rFonts w:hint="default" w:ascii="Times New Roman" w:hAnsi="Times New Roman" w:cs="Times New Roman"/>
          <w:highlight w:val="none"/>
        </w:rPr>
        <w:t>滞纳金标准为</w:t>
      </w:r>
      <w:r>
        <w:rPr>
          <w:rFonts w:hint="default" w:ascii="Times New Roman" w:hAnsi="Times New Roman" w:cs="Times New Roman"/>
          <w:highlight w:val="none"/>
          <w:lang w:val="en-US" w:eastAsia="zh-CN"/>
        </w:rPr>
        <w:t>0.2</w:t>
      </w:r>
      <w:r>
        <w:rPr>
          <w:rFonts w:hint="default" w:ascii="Times New Roman" w:hAnsi="Times New Roman" w:cs="Times New Roman"/>
          <w:highlight w:val="none"/>
        </w:rPr>
        <w:t>元/</w:t>
      </w:r>
      <w:r>
        <w:rPr>
          <w:rFonts w:hint="default" w:ascii="Times New Roman" w:hAnsi="Times New Roman" w:cs="Times New Roman"/>
          <w:highlight w:val="none"/>
          <w:lang w:eastAsia="zh-CN"/>
        </w:rPr>
        <w:t>克</w:t>
      </w:r>
      <w:r>
        <w:rPr>
          <w:rFonts w:hint="default" w:ascii="Times New Roman" w:hAnsi="Times New Roman" w:cs="Times New Roman"/>
          <w:highlight w:val="none"/>
        </w:rPr>
        <w:t>•天。</w:t>
      </w:r>
    </w:p>
    <w:p>
      <w:pPr>
        <w:keepNext w:val="0"/>
        <w:keepLines w:val="0"/>
        <w:pageBreakBefore w:val="0"/>
        <w:widowControl w:val="0"/>
        <w:numPr>
          <w:ilvl w:val="0"/>
          <w:numId w:val="2"/>
        </w:numPr>
        <w:kinsoku/>
        <w:wordWrap/>
        <w:overflowPunct/>
        <w:topLinePunct w:val="0"/>
        <w:autoSpaceDE/>
        <w:autoSpaceDN/>
        <w:bidi w:val="0"/>
        <w:adjustRightInd/>
        <w:snapToGrid/>
        <w:ind w:left="0" w:leftChars="0" w:firstLine="640" w:firstLineChars="200"/>
        <w:textAlignment w:val="auto"/>
        <w:rPr>
          <w:rFonts w:hint="default" w:ascii="Times New Roman" w:hAnsi="Times New Roman" w:cs="Times New Roman"/>
          <w:highlight w:val="none"/>
        </w:rPr>
      </w:pPr>
      <w:r>
        <w:rPr>
          <w:rFonts w:hint="default" w:ascii="Times New Roman" w:hAnsi="Times New Roman" w:cs="Times New Roman"/>
          <w:highlight w:val="none"/>
        </w:rPr>
        <w:t>货主在标准仓单注销日后（不含注销日）的</w:t>
      </w:r>
      <w:r>
        <w:rPr>
          <w:rFonts w:hint="default" w:ascii="Times New Roman" w:hAnsi="Times New Roman" w:cs="Times New Roman"/>
          <w:highlight w:val="none"/>
          <w:lang w:val="en-US" w:eastAsia="zh-CN"/>
        </w:rPr>
        <w:t>19</w:t>
      </w:r>
      <w:r>
        <w:rPr>
          <w:rFonts w:hint="default" w:ascii="Times New Roman" w:hAnsi="Times New Roman" w:cs="Times New Roman"/>
          <w:highlight w:val="none"/>
        </w:rPr>
        <w:t>个自然日后（不含当日）到厂库提货，货主应当以下述公式的计算方法向厂库支付滞纳金，同时厂库将不再按照期货标准承担有关的商品质量、发货时间和发货速度的责任。</w:t>
      </w:r>
    </w:p>
    <w:p>
      <w:pPr>
        <w:bidi w:val="0"/>
        <w:rPr>
          <w:rFonts w:hint="default" w:ascii="Times New Roman" w:hAnsi="Times New Roman" w:cs="Times New Roman"/>
          <w:highlight w:val="none"/>
        </w:rPr>
      </w:pPr>
      <w:r>
        <w:rPr>
          <w:rFonts w:hint="default" w:ascii="Times New Roman" w:hAnsi="Times New Roman" w:cs="Times New Roman"/>
          <w:highlight w:val="none"/>
        </w:rPr>
        <w:t>滞纳金金额=</w:t>
      </w:r>
      <w:r>
        <w:rPr>
          <w:rFonts w:hint="default" w:ascii="Times New Roman" w:hAnsi="Times New Roman" w:cs="Times New Roman"/>
          <w:highlight w:val="none"/>
          <w:lang w:val="en-US" w:eastAsia="zh-CN"/>
        </w:rPr>
        <w:t>0.2元</w:t>
      </w:r>
      <w:r>
        <w:rPr>
          <w:rFonts w:hint="default" w:ascii="Times New Roman" w:hAnsi="Times New Roman" w:cs="Times New Roman"/>
          <w:highlight w:val="none"/>
        </w:rPr>
        <w:t>/</w:t>
      </w:r>
      <w:r>
        <w:rPr>
          <w:rFonts w:hint="default" w:ascii="Times New Roman" w:hAnsi="Times New Roman" w:cs="Times New Roman"/>
          <w:highlight w:val="none"/>
          <w:lang w:eastAsia="zh-CN"/>
        </w:rPr>
        <w:t>克</w:t>
      </w:r>
      <w:r>
        <w:rPr>
          <w:rFonts w:hint="default" w:ascii="Times New Roman" w:hAnsi="Times New Roman" w:cs="Times New Roman"/>
          <w:highlight w:val="none"/>
        </w:rPr>
        <w:t>•天×全部的商品数量×</w:t>
      </w:r>
      <w:r>
        <w:rPr>
          <w:rFonts w:hint="default" w:ascii="Times New Roman" w:hAnsi="Times New Roman" w:cs="Times New Roman"/>
          <w:highlight w:val="none"/>
          <w:lang w:val="en-US" w:eastAsia="zh-CN"/>
        </w:rPr>
        <w:t>19</w:t>
      </w:r>
      <w:r>
        <w:rPr>
          <w:rFonts w:hint="default" w:ascii="Times New Roman" w:hAnsi="Times New Roman" w:cs="Times New Roman"/>
          <w:highlight w:val="none"/>
        </w:rPr>
        <w:t>天</w:t>
      </w:r>
    </w:p>
    <w:p>
      <w:pPr>
        <w:keepNext w:val="0"/>
        <w:keepLines w:val="0"/>
        <w:pageBreakBefore w:val="0"/>
        <w:widowControl w:val="0"/>
        <w:numPr>
          <w:ilvl w:val="0"/>
          <w:numId w:val="2"/>
        </w:numPr>
        <w:kinsoku/>
        <w:wordWrap/>
        <w:overflowPunct/>
        <w:topLinePunct w:val="0"/>
        <w:autoSpaceDE/>
        <w:autoSpaceDN/>
        <w:bidi w:val="0"/>
        <w:adjustRightInd/>
        <w:snapToGrid/>
        <w:ind w:left="0" w:leftChars="0" w:firstLine="640" w:firstLineChars="200"/>
        <w:textAlignment w:val="auto"/>
        <w:rPr>
          <w:rFonts w:hint="default" w:ascii="Times New Roman" w:hAnsi="Times New Roman" w:cs="Times New Roman"/>
          <w:highlight w:val="none"/>
        </w:rPr>
      </w:pPr>
      <w:r>
        <w:rPr>
          <w:rFonts w:hint="default" w:ascii="Times New Roman" w:hAnsi="Times New Roman" w:cs="Times New Roman"/>
          <w:highlight w:val="none"/>
        </w:rPr>
        <w:t>厂库未按规定的日发货速度发货，但按时完成了所有商品的发货，厂库应当向货主支付赔偿金。赔偿金标准如下：</w:t>
      </w:r>
    </w:p>
    <w:p>
      <w:pPr>
        <w:bidi w:val="0"/>
        <w:rPr>
          <w:rFonts w:hint="default" w:ascii="Times New Roman" w:hAnsi="Times New Roman" w:cs="Times New Roman"/>
          <w:highlight w:val="none"/>
        </w:rPr>
      </w:pPr>
      <w:r>
        <w:rPr>
          <w:rFonts w:hint="default" w:ascii="Times New Roman" w:hAnsi="Times New Roman" w:cs="Times New Roman"/>
          <w:highlight w:val="none"/>
        </w:rPr>
        <w:t>赔偿金金额=该商品最近已交割月份交割结算价×按日出库速度应发而未发的商品数量×5%</w:t>
      </w:r>
    </w:p>
    <w:p>
      <w:pPr>
        <w:keepNext w:val="0"/>
        <w:keepLines w:val="0"/>
        <w:pageBreakBefore w:val="0"/>
        <w:widowControl w:val="0"/>
        <w:numPr>
          <w:ilvl w:val="0"/>
          <w:numId w:val="2"/>
        </w:numPr>
        <w:kinsoku/>
        <w:wordWrap/>
        <w:overflowPunct/>
        <w:topLinePunct w:val="0"/>
        <w:autoSpaceDE/>
        <w:autoSpaceDN/>
        <w:bidi w:val="0"/>
        <w:adjustRightInd/>
        <w:snapToGrid/>
        <w:ind w:left="0" w:leftChars="0" w:firstLine="640" w:firstLineChars="200"/>
        <w:textAlignment w:val="auto"/>
        <w:rPr>
          <w:rFonts w:hint="default" w:ascii="Times New Roman" w:hAnsi="Times New Roman" w:cs="Times New Roman"/>
          <w:highlight w:val="none"/>
        </w:rPr>
      </w:pPr>
      <w:r>
        <w:rPr>
          <w:rFonts w:hint="default" w:ascii="Times New Roman" w:hAnsi="Times New Roman" w:cs="Times New Roman"/>
          <w:highlight w:val="none"/>
        </w:rPr>
        <w:t>厂库未按时完成所有商品的发货，在按本细则第</w:t>
      </w:r>
      <w:r>
        <w:rPr>
          <w:rFonts w:hint="default" w:ascii="Times New Roman" w:hAnsi="Times New Roman" w:cs="Times New Roman"/>
          <w:highlight w:val="none"/>
          <w:lang w:val="en-US" w:eastAsia="zh-CN"/>
        </w:rPr>
        <w:t>五十九</w:t>
      </w:r>
      <w:r>
        <w:rPr>
          <w:rFonts w:hint="default" w:ascii="Times New Roman" w:hAnsi="Times New Roman" w:cs="Times New Roman"/>
          <w:highlight w:val="none"/>
        </w:rPr>
        <w:t>条规定进行赔偿的基础上，同时还应当向货主支付赔偿金。</w:t>
      </w:r>
    </w:p>
    <w:p>
      <w:pPr>
        <w:bidi w:val="0"/>
        <w:rPr>
          <w:rFonts w:hint="default" w:ascii="Times New Roman" w:hAnsi="Times New Roman" w:cs="Times New Roman"/>
          <w:highlight w:val="none"/>
        </w:rPr>
      </w:pPr>
      <w:r>
        <w:rPr>
          <w:rFonts w:hint="default" w:ascii="Times New Roman" w:hAnsi="Times New Roman" w:cs="Times New Roman"/>
          <w:highlight w:val="none"/>
        </w:rPr>
        <w:t>赔偿金金额=该商品最近已交割月份交割结算价×按商品总量应发而未发的商品数量×5%</w:t>
      </w:r>
    </w:p>
    <w:p>
      <w:pPr>
        <w:bidi w:val="0"/>
        <w:rPr>
          <w:rFonts w:hint="default" w:ascii="Times New Roman" w:hAnsi="Times New Roman" w:cs="Times New Roman"/>
          <w:highlight w:val="none"/>
        </w:rPr>
      </w:pPr>
      <w:r>
        <w:rPr>
          <w:rFonts w:hint="default" w:ascii="Times New Roman" w:hAnsi="Times New Roman" w:cs="Times New Roman"/>
          <w:highlight w:val="none"/>
        </w:rPr>
        <w:t>对于剩余未发商品，交易所按照以下程序进行处理：</w:t>
      </w:r>
    </w:p>
    <w:p>
      <w:pPr>
        <w:bidi w:val="0"/>
        <w:rPr>
          <w:rFonts w:hint="default" w:ascii="Times New Roman" w:hAnsi="Times New Roman" w:eastAsia="仿宋_GB2312" w:cs="Times New Roman"/>
          <w:highlight w:val="none"/>
          <w:lang w:eastAsia="zh-CN"/>
        </w:rPr>
      </w:pPr>
      <w:r>
        <w:rPr>
          <w:rFonts w:hint="default" w:ascii="Times New Roman" w:hAnsi="Times New Roman" w:cs="Times New Roman"/>
          <w:highlight w:val="none"/>
        </w:rPr>
        <w:t>（一）交易所向货主提供其它厂库或其它地点的相同质量和数量的现货商品，并承担调整交货地点和延期发货产生的全部费用</w:t>
      </w:r>
      <w:r>
        <w:rPr>
          <w:rFonts w:hint="default" w:ascii="Times New Roman" w:hAnsi="Times New Roman" w:cs="Times New Roman"/>
          <w:highlight w:val="none"/>
          <w:lang w:eastAsia="zh-CN"/>
        </w:rPr>
        <w:t>；</w:t>
      </w:r>
    </w:p>
    <w:p>
      <w:pPr>
        <w:bidi w:val="0"/>
        <w:rPr>
          <w:rFonts w:hint="default" w:ascii="Times New Roman" w:hAnsi="Times New Roman" w:cs="Times New Roman"/>
          <w:highlight w:val="none"/>
        </w:rPr>
      </w:pPr>
      <w:r>
        <w:rPr>
          <w:rFonts w:hint="default" w:ascii="Times New Roman" w:hAnsi="Times New Roman" w:cs="Times New Roman"/>
          <w:highlight w:val="none"/>
        </w:rPr>
        <w:t>（二）交易所无法提供上述商品时，向货主返还货款并支付赔偿金。</w:t>
      </w:r>
    </w:p>
    <w:p>
      <w:pPr>
        <w:bidi w:val="0"/>
        <w:rPr>
          <w:rFonts w:hint="default" w:ascii="Times New Roman" w:hAnsi="Times New Roman" w:cs="Times New Roman"/>
          <w:highlight w:val="none"/>
        </w:rPr>
      </w:pPr>
      <w:r>
        <w:rPr>
          <w:rFonts w:hint="default" w:ascii="Times New Roman" w:hAnsi="Times New Roman" w:cs="Times New Roman"/>
          <w:highlight w:val="none"/>
        </w:rPr>
        <w:t>返还货款和赔偿金的金额=该商品最近已交割月份交割结算价×按商品总量应发而未发的商品数量×120%</w:t>
      </w:r>
    </w:p>
    <w:p>
      <w:pPr>
        <w:keepNext w:val="0"/>
        <w:keepLines w:val="0"/>
        <w:pageBreakBefore w:val="0"/>
        <w:widowControl w:val="0"/>
        <w:numPr>
          <w:ilvl w:val="0"/>
          <w:numId w:val="2"/>
        </w:numPr>
        <w:kinsoku/>
        <w:wordWrap/>
        <w:overflowPunct/>
        <w:topLinePunct w:val="0"/>
        <w:autoSpaceDE/>
        <w:autoSpaceDN/>
        <w:bidi w:val="0"/>
        <w:adjustRightInd/>
        <w:snapToGrid/>
        <w:ind w:left="0" w:leftChars="0" w:firstLine="640" w:firstLineChars="200"/>
        <w:textAlignment w:val="auto"/>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highlight w:val="none"/>
        </w:rPr>
        <w:t>当厂库发生本细则第</w:t>
      </w:r>
      <w:r>
        <w:rPr>
          <w:rFonts w:hint="default" w:ascii="Times New Roman" w:hAnsi="Times New Roman" w:cs="Times New Roman"/>
          <w:highlight w:val="none"/>
          <w:lang w:val="en-US" w:eastAsia="zh-CN"/>
        </w:rPr>
        <w:t>五十九</w:t>
      </w:r>
      <w:r>
        <w:rPr>
          <w:rFonts w:hint="default" w:ascii="Times New Roman" w:hAnsi="Times New Roman" w:cs="Times New Roman"/>
          <w:highlight w:val="none"/>
        </w:rPr>
        <w:t>条、第</w:t>
      </w:r>
      <w:r>
        <w:rPr>
          <w:rFonts w:hint="default" w:ascii="Times New Roman" w:hAnsi="Times New Roman" w:cs="Times New Roman"/>
          <w:highlight w:val="none"/>
          <w:lang w:val="en-US" w:eastAsia="zh-CN"/>
        </w:rPr>
        <w:t>六十条</w:t>
      </w:r>
      <w:r>
        <w:rPr>
          <w:rFonts w:hint="default" w:ascii="Times New Roman" w:hAnsi="Times New Roman" w:cs="Times New Roman"/>
          <w:highlight w:val="none"/>
        </w:rPr>
        <w:t>中的违约行为时，首先</w:t>
      </w:r>
      <w:r>
        <w:rPr>
          <w:rFonts w:hint="default" w:ascii="Times New Roman" w:hAnsi="Times New Roman" w:cs="Times New Roman"/>
          <w:color w:val="000000" w:themeColor="text1"/>
          <w:highlight w:val="none"/>
          <w:lang w:val="en-US" w:eastAsia="zh-CN"/>
          <w14:textFill>
            <w14:solidFill>
              <w14:schemeClr w14:val="tx1"/>
            </w14:solidFill>
          </w14:textFill>
        </w:rPr>
        <w:t>由厂库</w:t>
      </w:r>
      <w:r>
        <w:rPr>
          <w:rFonts w:hint="default" w:ascii="Times New Roman" w:hAnsi="Times New Roman" w:cs="Times New Roman"/>
          <w:color w:val="000000" w:themeColor="text1"/>
          <w:highlight w:val="none"/>
          <w14:textFill>
            <w14:solidFill>
              <w14:schemeClr w14:val="tx1"/>
            </w14:solidFill>
          </w14:textFill>
        </w:rPr>
        <w:t>向货主支付赔偿金、返还货款和追加赔偿金。厂库未支付的或者支付数额不足的，按照《广州期货交易所风险准备金管理办法》《广州期货交易所标准仓单管理办法》有关规定处理。</w:t>
      </w:r>
    </w:p>
    <w:p>
      <w:pPr>
        <w:keepNext w:val="0"/>
        <w:keepLines w:val="0"/>
        <w:pageBreakBefore w:val="0"/>
        <w:widowControl w:val="0"/>
        <w:numPr>
          <w:ilvl w:val="0"/>
          <w:numId w:val="2"/>
        </w:numPr>
        <w:kinsoku/>
        <w:wordWrap/>
        <w:overflowPunct/>
        <w:topLinePunct w:val="0"/>
        <w:autoSpaceDE/>
        <w:autoSpaceDN/>
        <w:bidi w:val="0"/>
        <w:adjustRightInd/>
        <w:snapToGrid/>
        <w:ind w:left="0" w:leftChars="0" w:firstLine="640" w:firstLineChars="200"/>
        <w:textAlignment w:val="auto"/>
        <w:rPr>
          <w:rFonts w:hint="default" w:ascii="Times New Roman" w:hAnsi="Times New Roman" w:cs="Times New Roman"/>
          <w:highlight w:val="none"/>
        </w:rPr>
      </w:pPr>
      <w:r>
        <w:rPr>
          <w:rFonts w:hint="default" w:ascii="Times New Roman" w:hAnsi="Times New Roman" w:cs="Times New Roman"/>
          <w:color w:val="000000" w:themeColor="text1"/>
          <w:highlight w:val="none"/>
          <w14:textFill>
            <w14:solidFill>
              <w14:schemeClr w14:val="tx1"/>
            </w14:solidFill>
          </w14:textFill>
        </w:rPr>
        <w:t>当货主发生本细则第</w:t>
      </w:r>
      <w:r>
        <w:rPr>
          <w:rFonts w:hint="default" w:ascii="Times New Roman" w:hAnsi="Times New Roman" w:cs="Times New Roman"/>
          <w:color w:val="000000" w:themeColor="text1"/>
          <w:highlight w:val="none"/>
          <w:lang w:val="en-US" w:eastAsia="zh-CN"/>
          <w14:textFill>
            <w14:solidFill>
              <w14:schemeClr w14:val="tx1"/>
            </w14:solidFill>
          </w14:textFill>
        </w:rPr>
        <w:t>五十六</w:t>
      </w:r>
      <w:r>
        <w:rPr>
          <w:rFonts w:hint="default" w:ascii="Times New Roman" w:hAnsi="Times New Roman" w:cs="Times New Roman"/>
          <w:color w:val="000000" w:themeColor="text1"/>
          <w:highlight w:val="none"/>
          <w14:textFill>
            <w14:solidFill>
              <w14:schemeClr w14:val="tx1"/>
            </w14:solidFill>
          </w14:textFill>
        </w:rPr>
        <w:t>条至第</w:t>
      </w:r>
      <w:r>
        <w:rPr>
          <w:rFonts w:hint="default" w:ascii="Times New Roman" w:hAnsi="Times New Roman" w:cs="Times New Roman"/>
          <w:color w:val="000000" w:themeColor="text1"/>
          <w:highlight w:val="none"/>
          <w:lang w:val="en-US" w:eastAsia="zh-CN"/>
          <w14:textFill>
            <w14:solidFill>
              <w14:schemeClr w14:val="tx1"/>
            </w14:solidFill>
          </w14:textFill>
        </w:rPr>
        <w:t>五十八</w:t>
      </w:r>
      <w:r>
        <w:rPr>
          <w:rFonts w:hint="default" w:ascii="Times New Roman" w:hAnsi="Times New Roman" w:cs="Times New Roman"/>
          <w:color w:val="000000" w:themeColor="text1"/>
          <w:highlight w:val="none"/>
          <w14:textFill>
            <w14:solidFill>
              <w14:schemeClr w14:val="tx1"/>
            </w14:solidFill>
          </w14:textFill>
        </w:rPr>
        <w:t>条中的违约行为时，首先</w:t>
      </w:r>
      <w:r>
        <w:rPr>
          <w:rFonts w:hint="default" w:ascii="Times New Roman" w:hAnsi="Times New Roman" w:cs="Times New Roman"/>
          <w:color w:val="000000" w:themeColor="text1"/>
          <w:highlight w:val="none"/>
          <w:lang w:val="en-US" w:eastAsia="zh-CN"/>
          <w14:textFill>
            <w14:solidFill>
              <w14:schemeClr w14:val="tx1"/>
            </w14:solidFill>
          </w14:textFill>
        </w:rPr>
        <w:t>由货主</w:t>
      </w:r>
      <w:r>
        <w:rPr>
          <w:rFonts w:hint="default" w:ascii="Times New Roman" w:hAnsi="Times New Roman" w:cs="Times New Roman"/>
          <w:color w:val="000000" w:themeColor="text1"/>
          <w:highlight w:val="none"/>
          <w14:textFill>
            <w14:solidFill>
              <w14:schemeClr w14:val="tx1"/>
            </w14:solidFill>
          </w14:textFill>
        </w:rPr>
        <w:t>向厂库支付滞纳金。货主未支付或支付数额不足</w:t>
      </w:r>
      <w:r>
        <w:rPr>
          <w:rFonts w:hint="default" w:ascii="Times New Roman" w:hAnsi="Times New Roman" w:cs="Times New Roman"/>
          <w:highlight w:val="none"/>
        </w:rPr>
        <w:t>的，厂库可通过包括法律手段在内的其他手段向货主追索。</w:t>
      </w:r>
    </w:p>
    <w:p>
      <w:pPr>
        <w:keepNext w:val="0"/>
        <w:keepLines w:val="0"/>
        <w:pageBreakBefore w:val="0"/>
        <w:widowControl w:val="0"/>
        <w:numPr>
          <w:ilvl w:val="0"/>
          <w:numId w:val="2"/>
        </w:numPr>
        <w:kinsoku/>
        <w:wordWrap/>
        <w:overflowPunct/>
        <w:topLinePunct w:val="0"/>
        <w:autoSpaceDE/>
        <w:autoSpaceDN/>
        <w:bidi w:val="0"/>
        <w:adjustRightInd/>
        <w:snapToGrid/>
        <w:ind w:left="0" w:leftChars="0" w:firstLine="640" w:firstLineChars="200"/>
        <w:textAlignment w:val="auto"/>
        <w:rPr>
          <w:rFonts w:hint="default" w:ascii="Times New Roman" w:hAnsi="Times New Roman" w:cs="Times New Roman"/>
          <w:highlight w:val="none"/>
        </w:rPr>
      </w:pPr>
      <w:r>
        <w:rPr>
          <w:rFonts w:hint="default" w:ascii="Times New Roman" w:hAnsi="Times New Roman" w:cs="Times New Roman"/>
          <w:highlight w:val="none"/>
        </w:rPr>
        <w:t>当发生本细则第</w:t>
      </w:r>
      <w:r>
        <w:rPr>
          <w:rFonts w:hint="default" w:ascii="Times New Roman" w:hAnsi="Times New Roman" w:cs="Times New Roman"/>
          <w:highlight w:val="none"/>
          <w:lang w:val="en-US" w:eastAsia="zh-CN"/>
        </w:rPr>
        <w:t>五十六</w:t>
      </w:r>
      <w:r>
        <w:rPr>
          <w:rFonts w:hint="default" w:ascii="Times New Roman" w:hAnsi="Times New Roman" w:cs="Times New Roman"/>
          <w:highlight w:val="none"/>
        </w:rPr>
        <w:t>条至</w:t>
      </w:r>
      <w:r>
        <w:rPr>
          <w:rFonts w:hint="default" w:ascii="Times New Roman" w:hAnsi="Times New Roman" w:cs="Times New Roman"/>
          <w:highlight w:val="none"/>
          <w:lang w:val="en-US" w:eastAsia="zh-CN"/>
        </w:rPr>
        <w:t>第六十</w:t>
      </w:r>
      <w:r>
        <w:rPr>
          <w:rFonts w:hint="default" w:ascii="Times New Roman" w:hAnsi="Times New Roman" w:cs="Times New Roman"/>
          <w:highlight w:val="none"/>
        </w:rPr>
        <w:t>条所述情况而给厂库或者货主一方造成损失，如双方约定另行协商处理，则按双方协商而定。书面协议报交易所备案。</w:t>
      </w:r>
    </w:p>
    <w:p>
      <w:pPr>
        <w:keepNext w:val="0"/>
        <w:keepLines w:val="0"/>
        <w:pageBreakBefore w:val="0"/>
        <w:widowControl w:val="0"/>
        <w:numPr>
          <w:ilvl w:val="0"/>
          <w:numId w:val="2"/>
        </w:numPr>
        <w:kinsoku/>
        <w:wordWrap/>
        <w:overflowPunct/>
        <w:topLinePunct w:val="0"/>
        <w:autoSpaceDE/>
        <w:autoSpaceDN/>
        <w:bidi w:val="0"/>
        <w:adjustRightInd/>
        <w:snapToGrid/>
        <w:ind w:left="0" w:leftChars="0" w:firstLine="640" w:firstLineChars="200"/>
        <w:textAlignment w:val="auto"/>
        <w:rPr>
          <w:rFonts w:hint="default" w:ascii="Times New Roman" w:hAnsi="Times New Roman" w:cs="Times New Roman"/>
          <w:highlight w:val="none"/>
        </w:rPr>
      </w:pPr>
      <w:r>
        <w:rPr>
          <w:rFonts w:hint="default" w:ascii="Times New Roman" w:hAnsi="Times New Roman" w:cs="Times New Roman"/>
          <w:highlight w:val="none"/>
        </w:rPr>
        <w:t>因不可抗力导致无法发货或提货时，厂库或货主无需支付滞纳金或赔偿金。</w:t>
      </w:r>
    </w:p>
    <w:p>
      <w:pPr>
        <w:bidi w:val="0"/>
        <w:rPr>
          <w:rFonts w:hint="default" w:ascii="Times New Roman" w:hAnsi="Times New Roman" w:cs="Times New Roman"/>
          <w:highlight w:val="none"/>
        </w:rPr>
      </w:pPr>
      <w:r>
        <w:rPr>
          <w:rFonts w:hint="default" w:ascii="Times New Roman" w:hAnsi="Times New Roman" w:cs="Times New Roman"/>
          <w:highlight w:val="none"/>
        </w:rPr>
        <w:t>本条所称不可抗力包括恶劣天气、洪水、地震或泥石流等自然灾害、法规政策变化等不能预见、不能避免且不能克服的客观情况。</w:t>
      </w:r>
    </w:p>
    <w:p>
      <w:pPr>
        <w:keepNext w:val="0"/>
        <w:keepLines w:val="0"/>
        <w:pageBreakBefore w:val="0"/>
        <w:widowControl w:val="0"/>
        <w:numPr>
          <w:ilvl w:val="0"/>
          <w:numId w:val="2"/>
        </w:numPr>
        <w:kinsoku/>
        <w:wordWrap/>
        <w:overflowPunct/>
        <w:topLinePunct w:val="0"/>
        <w:autoSpaceDE/>
        <w:autoSpaceDN/>
        <w:bidi w:val="0"/>
        <w:adjustRightInd/>
        <w:snapToGrid/>
        <w:ind w:left="0" w:leftChars="0" w:firstLine="640" w:firstLineChars="200"/>
        <w:textAlignment w:val="auto"/>
        <w:rPr>
          <w:rFonts w:hint="default" w:ascii="Times New Roman" w:hAnsi="Times New Roman" w:cs="Times New Roman"/>
          <w:highlight w:val="none"/>
        </w:rPr>
      </w:pPr>
      <w:r>
        <w:rPr>
          <w:rFonts w:hint="default" w:ascii="Times New Roman" w:hAnsi="Times New Roman" w:cs="Times New Roman"/>
          <w:highlight w:val="none"/>
          <w:lang w:val="en-US" w:eastAsia="zh-CN"/>
        </w:rPr>
        <w:t>铂</w:t>
      </w:r>
      <w:r>
        <w:rPr>
          <w:rFonts w:hint="default" w:ascii="Times New Roman" w:hAnsi="Times New Roman" w:cs="Times New Roman"/>
          <w:highlight w:val="none"/>
        </w:rPr>
        <w:t>出库完成后，厂库应与提货人对相关事宜进行书面确认，厂库妥善保存相关材料。</w:t>
      </w:r>
    </w:p>
    <w:p>
      <w:pPr>
        <w:pStyle w:val="2"/>
        <w:rPr>
          <w:rFonts w:hint="default"/>
        </w:rPr>
      </w:pPr>
    </w:p>
    <w:p>
      <w:pPr>
        <w:bidi w:val="0"/>
        <w:ind w:left="0" w:leftChars="0" w:firstLine="0" w:firstLineChars="0"/>
        <w:jc w:val="center"/>
        <w:rPr>
          <w:rFonts w:hint="default" w:ascii="Times New Roman" w:hAnsi="Times New Roman" w:eastAsia="黑体" w:cs="Times New Roman"/>
          <w:highlight w:val="none"/>
        </w:rPr>
      </w:pPr>
      <w:r>
        <w:rPr>
          <w:rFonts w:hint="default" w:ascii="Times New Roman" w:hAnsi="Times New Roman" w:eastAsia="黑体" w:cs="Times New Roman"/>
          <w:highlight w:val="none"/>
        </w:rPr>
        <w:t>第四章</w:t>
      </w:r>
      <w:r>
        <w:rPr>
          <w:rFonts w:hint="default" w:ascii="Times New Roman" w:hAnsi="Times New Roman" w:eastAsia="黑体" w:cs="Times New Roman"/>
          <w:highlight w:val="none"/>
          <w:lang w:val="en-US" w:eastAsia="zh-CN"/>
        </w:rPr>
        <w:t xml:space="preserve"> </w:t>
      </w:r>
      <w:r>
        <w:rPr>
          <w:rFonts w:hint="default" w:ascii="Times New Roman" w:hAnsi="Times New Roman" w:eastAsia="黑体" w:cs="Times New Roman"/>
          <w:highlight w:val="none"/>
        </w:rPr>
        <w:t>附则</w:t>
      </w:r>
    </w:p>
    <w:p>
      <w:pPr>
        <w:keepNext w:val="0"/>
        <w:keepLines w:val="0"/>
        <w:pageBreakBefore w:val="0"/>
        <w:widowControl w:val="0"/>
        <w:numPr>
          <w:ilvl w:val="0"/>
          <w:numId w:val="2"/>
        </w:numPr>
        <w:kinsoku/>
        <w:wordWrap/>
        <w:overflowPunct/>
        <w:topLinePunct w:val="0"/>
        <w:autoSpaceDE/>
        <w:autoSpaceDN/>
        <w:bidi w:val="0"/>
        <w:adjustRightInd/>
        <w:snapToGrid/>
        <w:ind w:left="0" w:leftChars="0" w:firstLine="640" w:firstLineChars="200"/>
        <w:textAlignment w:val="auto"/>
        <w:rPr>
          <w:rFonts w:hint="default" w:ascii="Times New Roman" w:hAnsi="Times New Roman" w:cs="Times New Roman"/>
          <w:highlight w:val="none"/>
        </w:rPr>
      </w:pPr>
      <w:r>
        <w:rPr>
          <w:rFonts w:hint="default" w:ascii="Times New Roman" w:hAnsi="Times New Roman" w:cs="Times New Roman"/>
          <w:highlight w:val="none"/>
        </w:rPr>
        <w:t>违反本细则规定的，交易所按照《广州期货交易所违规违约处理办法》和其他业务规则的有关规定处理。</w:t>
      </w:r>
    </w:p>
    <w:p>
      <w:pPr>
        <w:keepNext w:val="0"/>
        <w:keepLines w:val="0"/>
        <w:pageBreakBefore w:val="0"/>
        <w:widowControl w:val="0"/>
        <w:numPr>
          <w:ilvl w:val="0"/>
          <w:numId w:val="2"/>
        </w:numPr>
        <w:kinsoku/>
        <w:wordWrap/>
        <w:overflowPunct/>
        <w:topLinePunct w:val="0"/>
        <w:autoSpaceDE/>
        <w:autoSpaceDN/>
        <w:bidi w:val="0"/>
        <w:adjustRightInd/>
        <w:snapToGrid/>
        <w:ind w:left="0" w:leftChars="0" w:firstLine="640" w:firstLineChars="200"/>
        <w:textAlignment w:val="auto"/>
        <w:rPr>
          <w:rFonts w:hint="default" w:ascii="Times New Roman" w:hAnsi="Times New Roman" w:cs="Times New Roman"/>
          <w:highlight w:val="none"/>
        </w:rPr>
      </w:pPr>
      <w:r>
        <w:rPr>
          <w:rFonts w:hint="default" w:ascii="Times New Roman" w:hAnsi="Times New Roman" w:cs="Times New Roman"/>
          <w:highlight w:val="none"/>
        </w:rPr>
        <w:t>本细则解释权属于广州期货交易所。</w:t>
      </w:r>
    </w:p>
    <w:p>
      <w:pPr>
        <w:keepNext w:val="0"/>
        <w:keepLines w:val="0"/>
        <w:pageBreakBefore w:val="0"/>
        <w:widowControl w:val="0"/>
        <w:numPr>
          <w:ilvl w:val="0"/>
          <w:numId w:val="2"/>
        </w:numPr>
        <w:kinsoku/>
        <w:wordWrap/>
        <w:overflowPunct/>
        <w:topLinePunct w:val="0"/>
        <w:autoSpaceDE/>
        <w:autoSpaceDN/>
        <w:bidi w:val="0"/>
        <w:adjustRightInd/>
        <w:snapToGrid/>
        <w:ind w:left="0" w:leftChars="0" w:firstLine="640" w:firstLineChars="200"/>
        <w:textAlignment w:val="auto"/>
        <w:rPr>
          <w:rFonts w:hint="default" w:ascii="Times New Roman" w:hAnsi="Times New Roman" w:cs="Times New Roman"/>
          <w:highlight w:val="none"/>
          <w:lang w:val="en-US" w:eastAsia="zh-CN"/>
        </w:rPr>
      </w:pPr>
      <w:r>
        <w:rPr>
          <w:rFonts w:hint="default" w:ascii="Times New Roman" w:hAnsi="Times New Roman" w:cs="Times New Roman"/>
          <w:highlight w:val="none"/>
        </w:rPr>
        <w:t>本细则自</w:t>
      </w:r>
      <w:r>
        <w:rPr>
          <w:rFonts w:hint="default" w:ascii="Times New Roman" w:hAnsi="Times New Roman" w:cs="Times New Roman"/>
          <w:highlight w:val="none"/>
          <w:lang w:val="en-US" w:eastAsia="zh-CN"/>
        </w:rPr>
        <w:t>发布之</w:t>
      </w:r>
      <w:r>
        <w:rPr>
          <w:rFonts w:hint="default" w:ascii="Times New Roman" w:hAnsi="Times New Roman" w:cs="Times New Roman"/>
          <w:highlight w:val="none"/>
        </w:rPr>
        <w:t>日起</w:t>
      </w:r>
      <w:r>
        <w:rPr>
          <w:rFonts w:hint="default" w:ascii="Times New Roman" w:hAnsi="Times New Roman" w:cs="Times New Roman"/>
          <w:highlight w:val="none"/>
          <w:lang w:val="en-US" w:eastAsia="zh-CN"/>
        </w:rPr>
        <w:t>实施。</w:t>
      </w:r>
    </w:p>
    <w:p>
      <w:pPr>
        <w:pStyle w:val="2"/>
        <w:rPr>
          <w:rFonts w:hint="default" w:ascii="Times New Roman" w:hAnsi="Times New Roman" w:cs="Times New Roman"/>
          <w:highlight w:val="none"/>
          <w:lang w:val="en-US" w:eastAsia="zh-CN"/>
        </w:rPr>
      </w:pPr>
    </w:p>
    <w:p>
      <w:pPr>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zh-CN"/>
        </w:rPr>
        <w:t>附件：</w:t>
      </w:r>
      <w:r>
        <w:rPr>
          <w:rFonts w:hint="default" w:ascii="Times New Roman" w:hAnsi="Times New Roman" w:eastAsia="仿宋_GB2312" w:cs="Times New Roman"/>
          <w:sz w:val="32"/>
          <w:szCs w:val="32"/>
          <w:highlight w:val="none"/>
          <w:lang w:val="en-US" w:eastAsia="zh-CN"/>
        </w:rPr>
        <w:t>广州期货</w:t>
      </w:r>
      <w:r>
        <w:rPr>
          <w:rFonts w:hint="default" w:ascii="Times New Roman" w:hAnsi="Times New Roman" w:eastAsia="仿宋_GB2312" w:cs="Times New Roman"/>
          <w:sz w:val="32"/>
          <w:szCs w:val="32"/>
          <w:highlight w:val="none"/>
        </w:rPr>
        <w:t>交易所</w:t>
      </w:r>
      <w:r>
        <w:rPr>
          <w:rFonts w:hint="default" w:ascii="Times New Roman" w:hAnsi="Times New Roman" w:eastAsia="仿宋_GB2312" w:cs="Times New Roman"/>
          <w:sz w:val="32"/>
          <w:szCs w:val="32"/>
          <w:highlight w:val="none"/>
          <w:lang w:val="en-US" w:eastAsia="zh-CN"/>
        </w:rPr>
        <w:t>铂</w:t>
      </w:r>
      <w:r>
        <w:rPr>
          <w:rFonts w:hint="default" w:ascii="Times New Roman" w:hAnsi="Times New Roman" w:cs="Times New Roman"/>
          <w:sz w:val="32"/>
          <w:szCs w:val="32"/>
          <w:highlight w:val="none"/>
          <w:lang w:val="en-US" w:eastAsia="zh-CN"/>
        </w:rPr>
        <w:t>期货</w:t>
      </w:r>
      <w:r>
        <w:rPr>
          <w:rFonts w:hint="default" w:ascii="Times New Roman" w:hAnsi="Times New Roman" w:eastAsia="仿宋_GB2312" w:cs="Times New Roman"/>
          <w:sz w:val="32"/>
          <w:szCs w:val="32"/>
          <w:highlight w:val="none"/>
        </w:rPr>
        <w:t>交割质量标</w:t>
      </w:r>
      <w:r>
        <w:rPr>
          <w:rFonts w:hint="default" w:ascii="Times New Roman" w:hAnsi="Times New Roman" w:cs="Times New Roman"/>
          <w:sz w:val="32"/>
          <w:szCs w:val="32"/>
          <w:highlight w:val="none"/>
          <w:lang w:val="en-US" w:eastAsia="zh-CN"/>
        </w:rPr>
        <w:t>准</w:t>
      </w:r>
    </w:p>
    <w:p>
      <w:pPr>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zh-CN"/>
        </w:rPr>
        <w:br w:type="page"/>
      </w:r>
    </w:p>
    <w:p>
      <w:pPr>
        <w:adjustRightInd w:val="0"/>
        <w:snapToGrid w:val="0"/>
        <w:spacing w:line="560" w:lineRule="exact"/>
        <w:ind w:left="0" w:leftChars="0" w:firstLine="0" w:firstLineChars="0"/>
        <w:rPr>
          <w:rFonts w:hint="default" w:ascii="Times New Roman" w:hAnsi="Times New Roman" w:eastAsia="黑体" w:cs="Times New Roman"/>
          <w:sz w:val="32"/>
          <w:szCs w:val="32"/>
          <w:highlight w:val="none"/>
        </w:rPr>
      </w:pPr>
      <w:r>
        <w:rPr>
          <w:rFonts w:hint="default" w:ascii="Times New Roman" w:hAnsi="Times New Roman" w:eastAsia="黑体" w:cs="Times New Roman"/>
          <w:sz w:val="32"/>
          <w:szCs w:val="32"/>
          <w:highlight w:val="none"/>
        </w:rPr>
        <w:t>附件</w:t>
      </w:r>
    </w:p>
    <w:p>
      <w:pPr>
        <w:adjustRightInd w:val="0"/>
        <w:snapToGrid w:val="0"/>
        <w:spacing w:line="560" w:lineRule="exact"/>
        <w:rPr>
          <w:rFonts w:ascii="Times New Roman" w:hAnsi="Times New Roman" w:eastAsia="仿宋_GB2312" w:cs="Times New Roman"/>
          <w:sz w:val="32"/>
          <w:szCs w:val="32"/>
          <w:highlight w:val="none"/>
        </w:rPr>
      </w:pPr>
    </w:p>
    <w:p>
      <w:pPr>
        <w:adjustRightInd w:val="0"/>
        <w:snapToGrid w:val="0"/>
        <w:spacing w:line="560" w:lineRule="exact"/>
        <w:ind w:firstLine="0" w:firstLineChars="0"/>
        <w:jc w:val="center"/>
        <w:outlineLvl w:val="1"/>
        <w:rPr>
          <w:rFonts w:hint="default" w:ascii="Times New Roman" w:hAnsi="Times New Roman" w:eastAsia="方正小标宋简体" w:cs="Times New Roman"/>
          <w:sz w:val="44"/>
          <w:szCs w:val="44"/>
          <w:highlight w:val="none"/>
        </w:rPr>
      </w:pPr>
      <w:r>
        <w:rPr>
          <w:rFonts w:hint="default" w:ascii="Times New Roman" w:hAnsi="Times New Roman" w:eastAsia="方正小标宋简体" w:cs="Times New Roman"/>
          <w:sz w:val="44"/>
          <w:szCs w:val="44"/>
          <w:highlight w:val="none"/>
          <w:lang w:val="en-US" w:eastAsia="zh-CN"/>
        </w:rPr>
        <w:t>广州期货</w:t>
      </w:r>
      <w:r>
        <w:rPr>
          <w:rFonts w:hint="default" w:ascii="Times New Roman" w:hAnsi="Times New Roman" w:eastAsia="方正小标宋简体" w:cs="Times New Roman"/>
          <w:sz w:val="44"/>
          <w:szCs w:val="44"/>
          <w:highlight w:val="none"/>
        </w:rPr>
        <w:t>交易所</w:t>
      </w:r>
      <w:r>
        <w:rPr>
          <w:rFonts w:hint="default" w:ascii="Times New Roman" w:hAnsi="Times New Roman" w:eastAsia="方正小标宋简体" w:cs="Times New Roman"/>
          <w:sz w:val="44"/>
          <w:szCs w:val="44"/>
          <w:highlight w:val="none"/>
          <w:lang w:val="en-US" w:eastAsia="zh-CN"/>
        </w:rPr>
        <w:t>铂期货</w:t>
      </w:r>
      <w:r>
        <w:rPr>
          <w:rFonts w:hint="default" w:ascii="Times New Roman" w:hAnsi="Times New Roman" w:eastAsia="方正小标宋简体" w:cs="Times New Roman"/>
          <w:sz w:val="44"/>
          <w:szCs w:val="44"/>
          <w:highlight w:val="none"/>
        </w:rPr>
        <w:t>交割质量标准</w:t>
      </w:r>
    </w:p>
    <w:p>
      <w:pPr>
        <w:adjustRightInd w:val="0"/>
        <w:snapToGrid w:val="0"/>
        <w:spacing w:line="560" w:lineRule="exact"/>
        <w:jc w:val="center"/>
        <w:rPr>
          <w:rFonts w:ascii="Times New Roman" w:hAnsi="Times New Roman" w:eastAsia="仿宋_GB2312" w:cs="Times New Roman"/>
          <w:sz w:val="32"/>
          <w:szCs w:val="32"/>
          <w:highlight w:val="none"/>
        </w:rPr>
      </w:pPr>
    </w:p>
    <w:p>
      <w:pPr>
        <w:keepNext w:val="0"/>
        <w:keepLines w:val="0"/>
        <w:pageBreakBefore w:val="0"/>
        <w:widowControl w:val="0"/>
        <w:kinsoku/>
        <w:wordWrap/>
        <w:overflowPunct/>
        <w:topLinePunct w:val="0"/>
        <w:autoSpaceDE/>
        <w:autoSpaceDN/>
        <w:bidi w:val="0"/>
        <w:spacing w:line="560" w:lineRule="exact"/>
        <w:ind w:firstLine="630"/>
        <w:textAlignment w:val="auto"/>
        <w:rPr>
          <w:rFonts w:ascii="Times New Roman" w:hAnsi="Times New Roman" w:eastAsia="仿宋_GB2312" w:cs="Times New Roman"/>
          <w:sz w:val="32"/>
          <w:szCs w:val="32"/>
          <w:highlight w:val="none"/>
        </w:rPr>
      </w:pPr>
      <w:r>
        <w:rPr>
          <w:rFonts w:ascii="Times New Roman" w:hAnsi="Times New Roman" w:eastAsia="仿宋_GB2312" w:cs="Times New Roman"/>
          <w:sz w:val="32"/>
          <w:szCs w:val="32"/>
          <w:highlight w:val="none"/>
        </w:rPr>
        <w:t>1</w:t>
      </w:r>
      <w:r>
        <w:rPr>
          <w:rFonts w:hint="default" w:ascii="Times New Roman" w:hAnsi="Times New Roman" w:cs="Times New Roman"/>
          <w:sz w:val="32"/>
          <w:szCs w:val="32"/>
          <w:highlight w:val="none"/>
          <w:lang w:val="en-US" w:eastAsia="zh-CN"/>
        </w:rPr>
        <w:t xml:space="preserve"> </w:t>
      </w:r>
      <w:r>
        <w:rPr>
          <w:rFonts w:hint="default" w:ascii="Times New Roman" w:hAnsi="Times New Roman" w:eastAsia="仿宋_GB2312" w:cs="Times New Roman"/>
          <w:sz w:val="32"/>
          <w:szCs w:val="32"/>
          <w:highlight w:val="none"/>
        </w:rPr>
        <w:t>主题内容与适用范围</w:t>
      </w:r>
    </w:p>
    <w:p>
      <w:pPr>
        <w:keepNext w:val="0"/>
        <w:keepLines w:val="0"/>
        <w:pageBreakBefore w:val="0"/>
        <w:widowControl w:val="0"/>
        <w:kinsoku/>
        <w:wordWrap/>
        <w:overflowPunct/>
        <w:topLinePunct w:val="0"/>
        <w:autoSpaceDE/>
        <w:autoSpaceDN/>
        <w:bidi w:val="0"/>
        <w:spacing w:line="560" w:lineRule="exact"/>
        <w:ind w:firstLine="630"/>
        <w:textAlignment w:val="auto"/>
        <w:rPr>
          <w:rFonts w:ascii="Times New Roman" w:hAnsi="Times New Roman" w:eastAsia="仿宋_GB2312" w:cs="Times New Roman"/>
          <w:sz w:val="32"/>
          <w:szCs w:val="32"/>
          <w:highlight w:val="none"/>
        </w:rPr>
      </w:pPr>
      <w:r>
        <w:rPr>
          <w:rFonts w:ascii="Times New Roman" w:hAnsi="Times New Roman" w:eastAsia="仿宋_GB2312" w:cs="Times New Roman"/>
          <w:sz w:val="32"/>
          <w:szCs w:val="32"/>
          <w:highlight w:val="none"/>
        </w:rPr>
        <w:t>1.1</w:t>
      </w:r>
      <w:r>
        <w:rPr>
          <w:rFonts w:hint="default" w:ascii="Times New Roman" w:hAnsi="Times New Roman" w:cs="Times New Roman"/>
          <w:sz w:val="32"/>
          <w:szCs w:val="32"/>
          <w:highlight w:val="none"/>
          <w:lang w:val="en-US" w:eastAsia="zh-CN"/>
        </w:rPr>
        <w:t xml:space="preserve"> </w:t>
      </w:r>
      <w:r>
        <w:rPr>
          <w:rFonts w:hint="default" w:ascii="Times New Roman" w:hAnsi="Times New Roman" w:eastAsia="仿宋_GB2312" w:cs="Times New Roman"/>
          <w:sz w:val="32"/>
          <w:szCs w:val="32"/>
          <w:highlight w:val="none"/>
        </w:rPr>
        <w:t>本标准规定了用于</w:t>
      </w:r>
      <w:r>
        <w:rPr>
          <w:rFonts w:hint="default" w:ascii="Times New Roman" w:hAnsi="Times New Roman" w:eastAsia="仿宋_GB2312" w:cs="Times New Roman"/>
          <w:sz w:val="32"/>
          <w:szCs w:val="32"/>
          <w:highlight w:val="none"/>
          <w:lang w:val="en-US" w:eastAsia="zh-CN"/>
        </w:rPr>
        <w:t>广州期货</w:t>
      </w:r>
      <w:r>
        <w:rPr>
          <w:rFonts w:hint="default" w:ascii="Times New Roman" w:hAnsi="Times New Roman" w:eastAsia="仿宋_GB2312" w:cs="Times New Roman"/>
          <w:sz w:val="32"/>
          <w:szCs w:val="32"/>
          <w:highlight w:val="none"/>
        </w:rPr>
        <w:t>交易所交割的</w:t>
      </w:r>
      <w:r>
        <w:rPr>
          <w:rFonts w:hint="default" w:ascii="Times New Roman" w:hAnsi="Times New Roman" w:eastAsia="仿宋_GB2312" w:cs="Times New Roman"/>
          <w:sz w:val="32"/>
          <w:szCs w:val="32"/>
          <w:highlight w:val="none"/>
          <w:lang w:val="en-US" w:eastAsia="zh-CN"/>
        </w:rPr>
        <w:t>铂</w:t>
      </w:r>
      <w:r>
        <w:rPr>
          <w:rFonts w:hint="default" w:ascii="Times New Roman" w:hAnsi="Times New Roman" w:eastAsia="仿宋_GB2312" w:cs="Times New Roman"/>
          <w:sz w:val="32"/>
          <w:szCs w:val="32"/>
          <w:highlight w:val="none"/>
        </w:rPr>
        <w:t>质量</w:t>
      </w:r>
      <w:r>
        <w:rPr>
          <w:rFonts w:hint="default" w:ascii="Times New Roman" w:hAnsi="Times New Roman" w:eastAsia="仿宋_GB2312" w:cs="Times New Roman"/>
          <w:sz w:val="32"/>
          <w:szCs w:val="32"/>
          <w:highlight w:val="none"/>
          <w:lang w:val="en-US" w:eastAsia="zh-CN"/>
        </w:rPr>
        <w:t>要求</w:t>
      </w:r>
      <w:r>
        <w:rPr>
          <w:rFonts w:hint="default" w:ascii="Times New Roman" w:hAnsi="Times New Roman" w:eastAsia="仿宋_GB2312" w:cs="Times New Roman"/>
          <w:sz w:val="32"/>
          <w:szCs w:val="32"/>
          <w:highlight w:val="none"/>
          <w:lang w:eastAsia="zh-CN"/>
        </w:rPr>
        <w:t>、</w:t>
      </w:r>
      <w:r>
        <w:rPr>
          <w:rFonts w:ascii="Times New Roman" w:hAnsi="Times New Roman" w:eastAsia="仿宋_GB2312" w:cs="Times New Roman"/>
          <w:sz w:val="32"/>
          <w:szCs w:val="32"/>
          <w:highlight w:val="none"/>
        </w:rPr>
        <w:t>试验方法</w:t>
      </w:r>
      <w:r>
        <w:rPr>
          <w:rFonts w:hint="default" w:ascii="Times New Roman" w:hAnsi="Times New Roman" w:eastAsia="仿宋_GB2312" w:cs="Times New Roman"/>
          <w:sz w:val="32"/>
          <w:szCs w:val="32"/>
          <w:highlight w:val="none"/>
          <w:lang w:val="en-US" w:eastAsia="zh-CN"/>
        </w:rPr>
        <w:t>和</w:t>
      </w:r>
      <w:r>
        <w:rPr>
          <w:rFonts w:ascii="Times New Roman" w:hAnsi="Times New Roman" w:eastAsia="仿宋_GB2312" w:cs="Times New Roman"/>
          <w:sz w:val="32"/>
          <w:szCs w:val="32"/>
          <w:highlight w:val="none"/>
        </w:rPr>
        <w:t>检验规则等</w:t>
      </w:r>
      <w:r>
        <w:rPr>
          <w:rFonts w:hint="default" w:ascii="Times New Roman" w:hAnsi="Times New Roman" w:eastAsia="仿宋_GB2312" w:cs="Times New Roman"/>
          <w:sz w:val="32"/>
          <w:szCs w:val="32"/>
          <w:highlight w:val="none"/>
        </w:rPr>
        <w:t>。</w:t>
      </w:r>
    </w:p>
    <w:p>
      <w:pPr>
        <w:keepNext w:val="0"/>
        <w:keepLines w:val="0"/>
        <w:pageBreakBefore w:val="0"/>
        <w:widowControl w:val="0"/>
        <w:kinsoku/>
        <w:wordWrap/>
        <w:overflowPunct/>
        <w:topLinePunct w:val="0"/>
        <w:autoSpaceDE/>
        <w:autoSpaceDN/>
        <w:bidi w:val="0"/>
        <w:spacing w:line="560" w:lineRule="exact"/>
        <w:ind w:firstLine="630"/>
        <w:textAlignment w:val="auto"/>
        <w:rPr>
          <w:rFonts w:hint="default" w:ascii="Times New Roman" w:hAnsi="Times New Roman" w:eastAsia="仿宋_GB2312" w:cs="Times New Roman"/>
          <w:sz w:val="32"/>
          <w:szCs w:val="32"/>
          <w:highlight w:val="none"/>
          <w:lang w:val="en-US" w:eastAsia="zh-CN"/>
        </w:rPr>
      </w:pPr>
      <w:r>
        <w:rPr>
          <w:rFonts w:ascii="Times New Roman" w:hAnsi="Times New Roman" w:eastAsia="仿宋_GB2312" w:cs="Times New Roman"/>
          <w:sz w:val="32"/>
          <w:szCs w:val="32"/>
          <w:highlight w:val="none"/>
        </w:rPr>
        <w:t>1.2</w:t>
      </w:r>
      <w:r>
        <w:rPr>
          <w:rFonts w:hint="default" w:ascii="Times New Roman" w:hAnsi="Times New Roman" w:cs="Times New Roman"/>
          <w:sz w:val="32"/>
          <w:szCs w:val="32"/>
          <w:highlight w:val="none"/>
          <w:lang w:val="en-US" w:eastAsia="zh-CN"/>
        </w:rPr>
        <w:t xml:space="preserve"> </w:t>
      </w:r>
      <w:r>
        <w:rPr>
          <w:rFonts w:hint="default" w:ascii="Times New Roman" w:hAnsi="Times New Roman" w:eastAsia="仿宋_GB2312" w:cs="Times New Roman"/>
          <w:sz w:val="32"/>
          <w:szCs w:val="32"/>
          <w:highlight w:val="none"/>
          <w:lang w:val="en-US" w:eastAsia="zh-CN"/>
        </w:rPr>
        <w:t>本标准规定的铂是指铂含量不低于99.95%的铂锭、海绵铂和铂粉。</w:t>
      </w:r>
    </w:p>
    <w:p>
      <w:pPr>
        <w:keepNext w:val="0"/>
        <w:keepLines w:val="0"/>
        <w:pageBreakBefore w:val="0"/>
        <w:widowControl w:val="0"/>
        <w:kinsoku/>
        <w:wordWrap/>
        <w:overflowPunct/>
        <w:topLinePunct w:val="0"/>
        <w:autoSpaceDE/>
        <w:autoSpaceDN/>
        <w:bidi w:val="0"/>
        <w:spacing w:line="560" w:lineRule="exact"/>
        <w:ind w:firstLine="630"/>
        <w:textAlignment w:val="auto"/>
        <w:rPr>
          <w:rFonts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lang w:val="en-US" w:eastAsia="zh-CN"/>
        </w:rPr>
        <w:t>1.3</w:t>
      </w:r>
      <w:r>
        <w:rPr>
          <w:rFonts w:hint="default" w:ascii="Times New Roman" w:hAnsi="Times New Roman" w:cs="Times New Roman"/>
          <w:sz w:val="32"/>
          <w:szCs w:val="32"/>
          <w:highlight w:val="none"/>
          <w:lang w:val="en-US" w:eastAsia="zh-CN"/>
        </w:rPr>
        <w:t xml:space="preserve"> </w:t>
      </w:r>
      <w:r>
        <w:rPr>
          <w:rFonts w:hint="default" w:ascii="Times New Roman" w:hAnsi="Times New Roman" w:eastAsia="仿宋_GB2312" w:cs="Times New Roman"/>
          <w:sz w:val="32"/>
          <w:szCs w:val="32"/>
          <w:highlight w:val="none"/>
        </w:rPr>
        <w:t>本标准适用于</w:t>
      </w:r>
      <w:r>
        <w:rPr>
          <w:rFonts w:hint="default" w:ascii="Times New Roman" w:hAnsi="Times New Roman" w:eastAsia="仿宋_GB2312" w:cs="Times New Roman"/>
          <w:sz w:val="32"/>
          <w:szCs w:val="32"/>
          <w:highlight w:val="none"/>
          <w:lang w:eastAsia="zh-CN"/>
        </w:rPr>
        <w:t>广州期货交易所铂</w:t>
      </w:r>
      <w:r>
        <w:rPr>
          <w:rFonts w:hint="default" w:ascii="Times New Roman" w:hAnsi="Times New Roman" w:eastAsia="仿宋_GB2312" w:cs="Times New Roman"/>
          <w:sz w:val="32"/>
          <w:szCs w:val="32"/>
          <w:highlight w:val="none"/>
        </w:rPr>
        <w:t>期货合约</w:t>
      </w:r>
      <w:r>
        <w:rPr>
          <w:rFonts w:hint="default" w:ascii="Times New Roman" w:hAnsi="Times New Roman" w:eastAsia="仿宋_GB2312" w:cs="Times New Roman"/>
          <w:sz w:val="32"/>
          <w:szCs w:val="32"/>
          <w:highlight w:val="none"/>
          <w:lang w:val="en-US" w:eastAsia="zh-CN"/>
        </w:rPr>
        <w:t>基准交割品</w:t>
      </w:r>
      <w:r>
        <w:rPr>
          <w:rFonts w:hint="default" w:ascii="Times New Roman" w:hAnsi="Times New Roman" w:eastAsia="仿宋_GB2312" w:cs="Times New Roman"/>
          <w:sz w:val="32"/>
          <w:szCs w:val="32"/>
          <w:highlight w:val="none"/>
        </w:rPr>
        <w:t>。</w:t>
      </w:r>
    </w:p>
    <w:p>
      <w:pPr>
        <w:keepNext w:val="0"/>
        <w:keepLines w:val="0"/>
        <w:pageBreakBefore w:val="0"/>
        <w:widowControl w:val="0"/>
        <w:kinsoku/>
        <w:wordWrap/>
        <w:overflowPunct/>
        <w:topLinePunct w:val="0"/>
        <w:autoSpaceDE/>
        <w:autoSpaceDN/>
        <w:bidi w:val="0"/>
        <w:spacing w:line="560" w:lineRule="exact"/>
        <w:ind w:firstLine="630"/>
        <w:textAlignment w:val="auto"/>
        <w:rPr>
          <w:rFonts w:ascii="Times New Roman" w:hAnsi="Times New Roman" w:eastAsia="仿宋_GB2312" w:cs="Times New Roman"/>
          <w:sz w:val="32"/>
          <w:szCs w:val="32"/>
          <w:highlight w:val="none"/>
        </w:rPr>
      </w:pPr>
      <w:r>
        <w:rPr>
          <w:rFonts w:ascii="Times New Roman" w:hAnsi="Times New Roman" w:eastAsia="仿宋_GB2312" w:cs="Times New Roman"/>
          <w:sz w:val="32"/>
          <w:szCs w:val="32"/>
          <w:highlight w:val="none"/>
        </w:rPr>
        <w:t xml:space="preserve">2 </w:t>
      </w:r>
      <w:r>
        <w:rPr>
          <w:rFonts w:hint="default" w:ascii="Times New Roman" w:hAnsi="Times New Roman" w:eastAsia="仿宋_GB2312" w:cs="Times New Roman"/>
          <w:sz w:val="32"/>
          <w:szCs w:val="32"/>
          <w:highlight w:val="none"/>
        </w:rPr>
        <w:t>规范性引用文件</w:t>
      </w:r>
    </w:p>
    <w:p>
      <w:pPr>
        <w:keepNext w:val="0"/>
        <w:keepLines w:val="0"/>
        <w:pageBreakBefore w:val="0"/>
        <w:widowControl w:val="0"/>
        <w:kinsoku/>
        <w:wordWrap/>
        <w:overflowPunct/>
        <w:topLinePunct w:val="0"/>
        <w:autoSpaceDE/>
        <w:autoSpaceDN/>
        <w:bidi w:val="0"/>
        <w:spacing w:line="560" w:lineRule="exact"/>
        <w:ind w:firstLine="630"/>
        <w:textAlignment w:val="auto"/>
        <w:rPr>
          <w:rFonts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下列文件中的条款通过本标准的引用而成为本标准的条款。凡是注日期的引用文件，其随后所有的修改单（不包括勘误的内容）或修订版均不适用于本标准。凡是不注日期的引用文件，其最新版本适用于本标准。</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default" w:ascii="Times New Roman" w:hAnsi="Times New Roman" w:eastAsia="仿宋_GB2312" w:cs="Times New Roman"/>
          <w:sz w:val="32"/>
          <w:szCs w:val="32"/>
          <w:highlight w:val="none"/>
          <w:lang w:val="en-US" w:eastAsia="zh-CN"/>
        </w:rPr>
      </w:pPr>
      <w:r>
        <w:rPr>
          <w:rFonts w:ascii="Times New Roman" w:hAnsi="Times New Roman" w:eastAsia="仿宋_GB2312" w:cs="Times New Roman"/>
          <w:sz w:val="32"/>
          <w:szCs w:val="32"/>
          <w:highlight w:val="none"/>
        </w:rPr>
        <w:t xml:space="preserve">GB/T </w:t>
      </w:r>
      <w:r>
        <w:rPr>
          <w:rFonts w:hint="default" w:ascii="Times New Roman" w:hAnsi="Times New Roman" w:cs="Times New Roman"/>
          <w:sz w:val="32"/>
          <w:szCs w:val="32"/>
          <w:highlight w:val="none"/>
          <w:lang w:val="en-US" w:eastAsia="zh-CN"/>
        </w:rPr>
        <w:t>37653</w:t>
      </w:r>
      <w:r>
        <w:rPr>
          <w:rFonts w:hint="default" w:ascii="Times New Roman" w:hAnsi="Times New Roman" w:eastAsia="仿宋_GB2312" w:cs="Times New Roman"/>
          <w:sz w:val="32"/>
          <w:szCs w:val="32"/>
          <w:highlight w:val="none"/>
          <w:lang w:val="en-US" w:eastAsia="zh-CN"/>
        </w:rPr>
        <w:t>—</w:t>
      </w:r>
      <w:r>
        <w:rPr>
          <w:rFonts w:ascii="Times New Roman" w:hAnsi="Times New Roman" w:eastAsia="仿宋_GB2312" w:cs="Times New Roman"/>
          <w:sz w:val="32"/>
          <w:szCs w:val="32"/>
          <w:highlight w:val="none"/>
        </w:rPr>
        <w:t>20</w:t>
      </w:r>
      <w:r>
        <w:rPr>
          <w:rFonts w:hint="default" w:ascii="Times New Roman" w:hAnsi="Times New Roman" w:cs="Times New Roman"/>
          <w:sz w:val="32"/>
          <w:szCs w:val="32"/>
          <w:highlight w:val="none"/>
          <w:lang w:val="en-US" w:eastAsia="zh-CN"/>
        </w:rPr>
        <w:t>19</w:t>
      </w:r>
      <w:r>
        <w:rPr>
          <w:rFonts w:ascii="Times New Roman" w:hAnsi="Times New Roman" w:eastAsia="仿宋_GB2312" w:cs="Times New Roman"/>
          <w:sz w:val="32"/>
          <w:szCs w:val="32"/>
          <w:highlight w:val="none"/>
        </w:rPr>
        <w:t xml:space="preserve"> </w:t>
      </w:r>
      <w:r>
        <w:rPr>
          <w:rFonts w:hint="default" w:ascii="Times New Roman" w:hAnsi="Times New Roman" w:eastAsia="仿宋_GB2312" w:cs="Times New Roman"/>
          <w:sz w:val="32"/>
          <w:szCs w:val="32"/>
          <w:highlight w:val="none"/>
          <w:lang w:val="en-US" w:eastAsia="zh-CN"/>
        </w:rPr>
        <w:t>铂锭</w:t>
      </w:r>
    </w:p>
    <w:p>
      <w:pPr>
        <w:keepNext w:val="0"/>
        <w:keepLines w:val="0"/>
        <w:pageBreakBefore w:val="0"/>
        <w:widowControl w:val="0"/>
        <w:kinsoku/>
        <w:wordWrap/>
        <w:overflowPunct/>
        <w:topLinePunct w:val="0"/>
        <w:autoSpaceDE/>
        <w:autoSpaceDN/>
        <w:bidi w:val="0"/>
        <w:spacing w:line="560" w:lineRule="exact"/>
        <w:ind w:firstLine="630"/>
        <w:textAlignment w:val="auto"/>
        <w:rPr>
          <w:rFonts w:hint="default" w:ascii="Times New Roman" w:hAnsi="Times New Roman" w:eastAsia="仿宋_GB2312" w:cs="Times New Roman"/>
          <w:sz w:val="32"/>
          <w:szCs w:val="32"/>
          <w:highlight w:val="none"/>
          <w:lang w:val="en-US" w:eastAsia="zh-CN"/>
        </w:rPr>
      </w:pPr>
      <w:r>
        <w:rPr>
          <w:rFonts w:ascii="Times New Roman" w:hAnsi="Times New Roman" w:eastAsia="仿宋_GB2312" w:cs="Times New Roman"/>
          <w:sz w:val="32"/>
          <w:szCs w:val="32"/>
          <w:highlight w:val="none"/>
        </w:rPr>
        <w:t xml:space="preserve">GB/T </w:t>
      </w:r>
      <w:r>
        <w:rPr>
          <w:rFonts w:hint="default" w:ascii="Times New Roman" w:hAnsi="Times New Roman" w:cs="Times New Roman"/>
          <w:sz w:val="32"/>
          <w:szCs w:val="32"/>
          <w:highlight w:val="none"/>
          <w:lang w:val="en-US" w:eastAsia="zh-CN"/>
        </w:rPr>
        <w:t>1419</w:t>
      </w:r>
      <w:r>
        <w:rPr>
          <w:rFonts w:hint="default" w:ascii="Times New Roman" w:hAnsi="Times New Roman" w:eastAsia="仿宋_GB2312" w:cs="Times New Roman"/>
          <w:sz w:val="32"/>
          <w:szCs w:val="32"/>
          <w:highlight w:val="none"/>
          <w:lang w:val="en-US" w:eastAsia="zh-CN"/>
        </w:rPr>
        <w:t>—</w:t>
      </w:r>
      <w:r>
        <w:rPr>
          <w:rFonts w:ascii="Times New Roman" w:hAnsi="Times New Roman" w:eastAsia="仿宋_GB2312" w:cs="Times New Roman"/>
          <w:sz w:val="32"/>
          <w:szCs w:val="32"/>
          <w:highlight w:val="none"/>
        </w:rPr>
        <w:t>20</w:t>
      </w:r>
      <w:r>
        <w:rPr>
          <w:rFonts w:hint="default" w:ascii="Times New Roman" w:hAnsi="Times New Roman" w:eastAsia="仿宋_GB2312" w:cs="Times New Roman"/>
          <w:sz w:val="32"/>
          <w:szCs w:val="32"/>
          <w:highlight w:val="none"/>
          <w:lang w:val="en-US" w:eastAsia="zh-CN"/>
        </w:rPr>
        <w:t>1</w:t>
      </w:r>
      <w:r>
        <w:rPr>
          <w:rFonts w:hint="default" w:ascii="Times New Roman" w:hAnsi="Times New Roman" w:cs="Times New Roman"/>
          <w:sz w:val="32"/>
          <w:szCs w:val="32"/>
          <w:highlight w:val="none"/>
          <w:lang w:val="en-US" w:eastAsia="zh-CN"/>
        </w:rPr>
        <w:t>5</w:t>
      </w:r>
      <w:r>
        <w:rPr>
          <w:rFonts w:ascii="Times New Roman" w:hAnsi="Times New Roman" w:eastAsia="仿宋_GB2312" w:cs="Times New Roman"/>
          <w:sz w:val="32"/>
          <w:szCs w:val="32"/>
          <w:highlight w:val="none"/>
        </w:rPr>
        <w:t xml:space="preserve"> </w:t>
      </w:r>
      <w:r>
        <w:rPr>
          <w:rFonts w:hint="default" w:ascii="Times New Roman" w:hAnsi="Times New Roman" w:eastAsia="仿宋_GB2312" w:cs="Times New Roman"/>
          <w:sz w:val="32"/>
          <w:szCs w:val="32"/>
          <w:highlight w:val="none"/>
          <w:lang w:val="en-US" w:eastAsia="zh-CN"/>
        </w:rPr>
        <w:t>海绵铂</w:t>
      </w:r>
    </w:p>
    <w:p>
      <w:pPr>
        <w:pStyle w:val="2"/>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仿宋_GB2312" w:cs="Times New Roman"/>
          <w:kern w:val="2"/>
          <w:sz w:val="32"/>
          <w:szCs w:val="32"/>
          <w:highlight w:val="none"/>
          <w:lang w:val="en-US" w:eastAsia="zh-CN" w:bidi="ar-SA"/>
        </w:rPr>
      </w:pPr>
      <w:r>
        <w:rPr>
          <w:rFonts w:hint="default" w:ascii="Times New Roman" w:hAnsi="Times New Roman" w:eastAsia="仿宋_GB2312" w:cs="Times New Roman"/>
          <w:kern w:val="2"/>
          <w:sz w:val="32"/>
          <w:szCs w:val="32"/>
          <w:highlight w:val="none"/>
          <w:lang w:val="en-US" w:eastAsia="zh-CN" w:bidi="ar-SA"/>
        </w:rPr>
        <w:t>YS/T 1379</w:t>
      </w:r>
      <w:r>
        <w:rPr>
          <w:rFonts w:hint="default" w:ascii="Times New Roman" w:hAnsi="Times New Roman" w:eastAsia="仿宋_GB2312" w:cs="Times New Roman"/>
          <w:sz w:val="32"/>
          <w:szCs w:val="32"/>
          <w:highlight w:val="none"/>
          <w:lang w:val="en-US" w:eastAsia="zh-CN"/>
        </w:rPr>
        <w:t>—</w:t>
      </w:r>
      <w:r>
        <w:rPr>
          <w:rFonts w:hint="default" w:ascii="Times New Roman" w:hAnsi="Times New Roman" w:eastAsia="仿宋_GB2312" w:cs="Times New Roman"/>
          <w:kern w:val="2"/>
          <w:sz w:val="32"/>
          <w:szCs w:val="32"/>
          <w:highlight w:val="none"/>
          <w:lang w:val="en-US" w:eastAsia="zh-CN" w:bidi="ar-SA"/>
        </w:rPr>
        <w:t>2020 纯铂化学分析方法 钯、铑、铱、钌、金、银、铝、铋、铬、铜、铁、镍、铅、镁、锰、锡、锌、硅含量的测定 电感耦合等离子体原子发射光谱法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kern w:val="2"/>
          <w:sz w:val="32"/>
          <w:szCs w:val="32"/>
          <w:highlight w:val="none"/>
          <w:lang w:val="en-US" w:eastAsia="zh-CN" w:bidi="ar-SA"/>
        </w:rPr>
      </w:pPr>
      <w:r>
        <w:rPr>
          <w:rFonts w:hint="default" w:ascii="Times New Roman" w:hAnsi="Times New Roman" w:eastAsia="仿宋_GB2312" w:cs="Times New Roman"/>
          <w:kern w:val="2"/>
          <w:sz w:val="32"/>
          <w:szCs w:val="32"/>
          <w:highlight w:val="none"/>
          <w:lang w:val="en-US" w:eastAsia="zh-CN" w:bidi="ar-SA"/>
        </w:rPr>
        <w:t>YS/T 1493</w:t>
      </w:r>
      <w:r>
        <w:rPr>
          <w:rFonts w:hint="default" w:ascii="Times New Roman" w:hAnsi="Times New Roman" w:eastAsia="仿宋_GB2312" w:cs="Times New Roman"/>
          <w:sz w:val="32"/>
          <w:szCs w:val="32"/>
          <w:highlight w:val="none"/>
          <w:lang w:val="en-US" w:eastAsia="zh-CN"/>
        </w:rPr>
        <w:t>—</w:t>
      </w:r>
      <w:r>
        <w:rPr>
          <w:rFonts w:hint="default" w:ascii="Times New Roman" w:hAnsi="Times New Roman" w:eastAsia="仿宋_GB2312" w:cs="Times New Roman"/>
          <w:kern w:val="2"/>
          <w:sz w:val="32"/>
          <w:szCs w:val="32"/>
          <w:highlight w:val="none"/>
          <w:lang w:val="en-US" w:eastAsia="zh-CN" w:bidi="ar-SA"/>
        </w:rPr>
        <w:t>2021 高纯铂化学分析方法</w:t>
      </w:r>
      <w:r>
        <w:rPr>
          <w:rFonts w:hint="default" w:ascii="Times New Roman" w:hAnsi="Times New Roman" w:cs="Times New Roman"/>
          <w:kern w:val="2"/>
          <w:sz w:val="32"/>
          <w:szCs w:val="32"/>
          <w:highlight w:val="none"/>
          <w:lang w:val="en-US" w:eastAsia="zh-CN" w:bidi="ar-SA"/>
        </w:rPr>
        <w:t xml:space="preserve"> </w:t>
      </w:r>
      <w:r>
        <w:rPr>
          <w:rFonts w:hint="default" w:ascii="Times New Roman" w:hAnsi="Times New Roman" w:eastAsia="仿宋_GB2312" w:cs="Times New Roman"/>
          <w:kern w:val="2"/>
          <w:sz w:val="32"/>
          <w:szCs w:val="32"/>
          <w:highlight w:val="none"/>
          <w:lang w:val="en-US" w:eastAsia="zh-CN" w:bidi="ar-SA"/>
        </w:rPr>
        <w:t>杂质元素含量</w:t>
      </w:r>
      <w:r>
        <w:rPr>
          <w:rFonts w:hint="default" w:ascii="Times New Roman" w:hAnsi="Times New Roman" w:cs="Times New Roman"/>
          <w:kern w:val="2"/>
          <w:sz w:val="32"/>
          <w:szCs w:val="32"/>
          <w:highlight w:val="none"/>
          <w:lang w:val="en-US" w:eastAsia="zh-CN" w:bidi="ar-SA"/>
        </w:rPr>
        <w:t>的</w:t>
      </w:r>
      <w:r>
        <w:rPr>
          <w:rFonts w:hint="default" w:ascii="Times New Roman" w:hAnsi="Times New Roman" w:eastAsia="仿宋_GB2312" w:cs="Times New Roman"/>
          <w:kern w:val="2"/>
          <w:sz w:val="32"/>
          <w:szCs w:val="32"/>
          <w:highlight w:val="none"/>
          <w:lang w:val="en-US" w:eastAsia="zh-CN" w:bidi="ar-SA"/>
        </w:rPr>
        <w:t>测定 辉光放电质谱法</w:t>
      </w:r>
    </w:p>
    <w:p>
      <w:pPr>
        <w:keepNext w:val="0"/>
        <w:keepLines w:val="0"/>
        <w:pageBreakBefore w:val="0"/>
        <w:widowControl w:val="0"/>
        <w:kinsoku/>
        <w:wordWrap/>
        <w:overflowPunct/>
        <w:topLinePunct w:val="0"/>
        <w:autoSpaceDE/>
        <w:autoSpaceDN/>
        <w:bidi w:val="0"/>
        <w:spacing w:line="560" w:lineRule="exact"/>
        <w:ind w:firstLine="630"/>
        <w:textAlignment w:val="auto"/>
        <w:rPr>
          <w:rFonts w:ascii="Times New Roman" w:hAnsi="Times New Roman" w:eastAsia="仿宋_GB2312" w:cs="Times New Roman"/>
          <w:sz w:val="32"/>
          <w:szCs w:val="32"/>
          <w:highlight w:val="none"/>
        </w:rPr>
      </w:pPr>
      <w:r>
        <w:rPr>
          <w:rFonts w:ascii="Times New Roman" w:hAnsi="Times New Roman" w:eastAsia="仿宋_GB2312" w:cs="Times New Roman"/>
          <w:sz w:val="32"/>
          <w:szCs w:val="32"/>
          <w:highlight w:val="none"/>
        </w:rPr>
        <w:t xml:space="preserve">3 </w:t>
      </w:r>
      <w:r>
        <w:rPr>
          <w:rFonts w:hint="default" w:ascii="Times New Roman" w:hAnsi="Times New Roman" w:eastAsia="仿宋_GB2312" w:cs="Times New Roman"/>
          <w:sz w:val="32"/>
          <w:szCs w:val="32"/>
          <w:highlight w:val="none"/>
        </w:rPr>
        <w:t>术语和定义</w:t>
      </w:r>
    </w:p>
    <w:p>
      <w:pPr>
        <w:keepNext w:val="0"/>
        <w:keepLines w:val="0"/>
        <w:pageBreakBefore w:val="0"/>
        <w:widowControl w:val="0"/>
        <w:kinsoku/>
        <w:wordWrap/>
        <w:overflowPunct/>
        <w:topLinePunct w:val="0"/>
        <w:autoSpaceDE/>
        <w:autoSpaceDN/>
        <w:bidi w:val="0"/>
        <w:spacing w:line="560" w:lineRule="exact"/>
        <w:ind w:firstLine="630"/>
        <w:textAlignment w:val="auto"/>
        <w:rPr>
          <w:rFonts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本标准采用的术语和定义按GB/T 37653—2019和GB/T 1419—2015解释。</w:t>
      </w:r>
    </w:p>
    <w:p>
      <w:pPr>
        <w:keepNext w:val="0"/>
        <w:keepLines w:val="0"/>
        <w:pageBreakBefore w:val="0"/>
        <w:widowControl w:val="0"/>
        <w:kinsoku/>
        <w:wordWrap/>
        <w:overflowPunct/>
        <w:topLinePunct w:val="0"/>
        <w:autoSpaceDE/>
        <w:autoSpaceDN/>
        <w:bidi w:val="0"/>
        <w:spacing w:line="560" w:lineRule="exact"/>
        <w:ind w:firstLine="630"/>
        <w:textAlignment w:val="auto"/>
        <w:rPr>
          <w:rFonts w:hint="default" w:ascii="Times New Roman" w:hAnsi="Times New Roman" w:eastAsia="仿宋_GB2312" w:cs="Times New Roman"/>
          <w:sz w:val="32"/>
          <w:szCs w:val="32"/>
          <w:highlight w:val="none"/>
        </w:rPr>
      </w:pPr>
      <w:r>
        <w:rPr>
          <w:rFonts w:ascii="Times New Roman" w:hAnsi="Times New Roman" w:eastAsia="仿宋_GB2312" w:cs="Times New Roman"/>
          <w:sz w:val="32"/>
          <w:szCs w:val="32"/>
          <w:highlight w:val="none"/>
        </w:rPr>
        <w:t xml:space="preserve">4 </w:t>
      </w:r>
      <w:r>
        <w:rPr>
          <w:rFonts w:hint="default" w:ascii="Times New Roman" w:hAnsi="Times New Roman" w:eastAsia="仿宋_GB2312" w:cs="Times New Roman"/>
          <w:sz w:val="32"/>
          <w:szCs w:val="32"/>
          <w:highlight w:val="none"/>
          <w:lang w:val="en-US" w:eastAsia="zh-CN"/>
        </w:rPr>
        <w:t>质量</w:t>
      </w:r>
      <w:r>
        <w:rPr>
          <w:rFonts w:hint="default" w:ascii="Times New Roman" w:hAnsi="Times New Roman" w:eastAsia="仿宋_GB2312" w:cs="Times New Roman"/>
          <w:sz w:val="32"/>
          <w:szCs w:val="32"/>
          <w:highlight w:val="none"/>
        </w:rPr>
        <w:t>要求</w:t>
      </w:r>
    </w:p>
    <w:p>
      <w:pPr>
        <w:widowControl/>
        <w:spacing w:line="560" w:lineRule="exact"/>
        <w:ind w:firstLine="640" w:firstLineChars="200"/>
        <w:rPr>
          <w:rFonts w:hint="default" w:ascii="Times New Roman" w:hAnsi="Times New Roman" w:eastAsia="仿宋_GB2312" w:cs="Times New Roman"/>
          <w:color w:val="000000"/>
          <w:kern w:val="0"/>
          <w:sz w:val="32"/>
          <w:szCs w:val="32"/>
          <w:highlight w:val="none"/>
          <w:lang w:val="en-US" w:eastAsia="zh-CN"/>
        </w:rPr>
      </w:pPr>
      <w:r>
        <w:rPr>
          <w:rFonts w:hint="default" w:ascii="Times New Roman" w:hAnsi="Times New Roman" w:eastAsia="仿宋_GB2312" w:cs="Times New Roman"/>
          <w:sz w:val="32"/>
          <w:szCs w:val="32"/>
          <w:highlight w:val="none"/>
          <w:lang w:val="en-US" w:eastAsia="zh-CN"/>
        </w:rPr>
        <w:t>4.1</w:t>
      </w:r>
      <w:r>
        <w:rPr>
          <w:rFonts w:hint="default" w:ascii="Times New Roman" w:hAnsi="Times New Roman" w:eastAsia="仿宋_GB2312" w:cs="Times New Roman"/>
          <w:color w:val="000000"/>
          <w:kern w:val="0"/>
          <w:sz w:val="32"/>
          <w:szCs w:val="32"/>
          <w:highlight w:val="none"/>
        </w:rPr>
        <w:t xml:space="preserve"> </w:t>
      </w:r>
      <w:r>
        <w:rPr>
          <w:rFonts w:hint="default" w:ascii="Times New Roman" w:hAnsi="Times New Roman" w:eastAsia="仿宋_GB2312" w:cs="Times New Roman"/>
          <w:color w:val="000000"/>
          <w:kern w:val="0"/>
          <w:sz w:val="32"/>
          <w:szCs w:val="32"/>
          <w:highlight w:val="none"/>
          <w:lang w:val="en-US" w:eastAsia="zh-CN"/>
        </w:rPr>
        <w:t>化学成分</w:t>
      </w:r>
    </w:p>
    <w:p>
      <w:pPr>
        <w:widowControl/>
        <w:spacing w:line="560" w:lineRule="exact"/>
        <w:ind w:firstLine="640" w:firstLineChars="200"/>
        <w:rPr>
          <w:rFonts w:hint="default" w:ascii="Times New Roman" w:hAnsi="Times New Roman" w:eastAsia="宋体" w:cs="Times New Roman"/>
          <w:highlight w:val="none"/>
          <w:lang w:val="en-US" w:eastAsia="zh-CN"/>
        </w:rPr>
      </w:pPr>
      <w:r>
        <w:rPr>
          <w:rFonts w:hint="default" w:ascii="Times New Roman" w:hAnsi="Times New Roman" w:eastAsia="仿宋_GB2312" w:cs="Times New Roman"/>
          <w:color w:val="000000"/>
          <w:kern w:val="0"/>
          <w:sz w:val="32"/>
          <w:szCs w:val="32"/>
          <w:highlight w:val="none"/>
          <w:lang w:val="en-US" w:eastAsia="zh-CN"/>
        </w:rPr>
        <w:t>4.1.1</w:t>
      </w:r>
      <w:r>
        <w:rPr>
          <w:rFonts w:hint="default" w:ascii="Times New Roman" w:hAnsi="Times New Roman" w:cs="Times New Roman"/>
          <w:color w:val="000000"/>
          <w:kern w:val="0"/>
          <w:sz w:val="32"/>
          <w:szCs w:val="32"/>
          <w:highlight w:val="none"/>
          <w:lang w:val="en-US" w:eastAsia="zh-CN"/>
        </w:rPr>
        <w:t xml:space="preserve"> </w:t>
      </w:r>
      <w:r>
        <w:rPr>
          <w:rFonts w:hint="default" w:ascii="Times New Roman" w:hAnsi="Times New Roman" w:eastAsia="仿宋_GB2312" w:cs="Times New Roman"/>
          <w:color w:val="000000"/>
          <w:kern w:val="0"/>
          <w:sz w:val="32"/>
          <w:szCs w:val="32"/>
          <w:highlight w:val="none"/>
          <w:lang w:val="en-US" w:eastAsia="zh-CN"/>
        </w:rPr>
        <w:t>国产铂化学成分</w:t>
      </w:r>
      <w:r>
        <w:rPr>
          <w:rFonts w:hint="default" w:ascii="Times New Roman" w:hAnsi="Times New Roman" w:eastAsia="仿宋_GB2312" w:cs="Times New Roman"/>
          <w:color w:val="000000"/>
          <w:kern w:val="0"/>
          <w:sz w:val="32"/>
          <w:szCs w:val="32"/>
          <w:highlight w:val="none"/>
        </w:rPr>
        <w:t>应符合表1</w:t>
      </w:r>
      <w:r>
        <w:rPr>
          <w:rFonts w:hint="default" w:ascii="Times New Roman" w:hAnsi="Times New Roman" w:eastAsia="仿宋_GB2312" w:cs="Times New Roman"/>
          <w:color w:val="000000"/>
          <w:kern w:val="0"/>
          <w:sz w:val="32"/>
          <w:szCs w:val="32"/>
          <w:highlight w:val="none"/>
          <w:lang w:val="en-US" w:eastAsia="zh-CN"/>
        </w:rPr>
        <w:t>的</w:t>
      </w:r>
      <w:r>
        <w:rPr>
          <w:rFonts w:hint="default" w:ascii="Times New Roman" w:hAnsi="Times New Roman" w:eastAsia="仿宋_GB2312" w:cs="Times New Roman"/>
          <w:color w:val="000000"/>
          <w:kern w:val="0"/>
          <w:sz w:val="32"/>
          <w:szCs w:val="32"/>
          <w:highlight w:val="none"/>
        </w:rPr>
        <w:t>要求</w:t>
      </w:r>
      <w:r>
        <w:rPr>
          <w:rFonts w:hint="default" w:ascii="Times New Roman" w:hAnsi="Times New Roman" w:eastAsia="仿宋_GB2312" w:cs="Times New Roman"/>
          <w:sz w:val="32"/>
          <w:szCs w:val="32"/>
          <w:highlight w:val="none"/>
          <w:lang w:val="en-US" w:eastAsia="zh-CN"/>
        </w:rPr>
        <w:t>。铂含量为100%减去杂质元素含量总和的余量，杂质元素包括表1所列杂质元素。</w:t>
      </w:r>
      <w:r>
        <w:rPr>
          <w:rFonts w:hint="default" w:ascii="Times New Roman" w:hAnsi="Times New Roman" w:cs="Times New Roman"/>
          <w:sz w:val="32"/>
          <w:szCs w:val="32"/>
          <w:highlight w:val="none"/>
          <w:lang w:val="en-US" w:eastAsia="zh-CN"/>
        </w:rPr>
        <w:t>杂质元素含量的检测结果</w:t>
      </w:r>
      <w:r>
        <w:rPr>
          <w:rFonts w:hint="default" w:ascii="Times New Roman" w:hAnsi="Times New Roman" w:eastAsia="仿宋_GB2312" w:cs="Times New Roman"/>
          <w:sz w:val="32"/>
          <w:szCs w:val="32"/>
          <w:highlight w:val="none"/>
          <w:lang w:val="en-US" w:eastAsia="zh-CN"/>
        </w:rPr>
        <w:t>低于分析方法检测下限的</w:t>
      </w:r>
      <w:r>
        <w:rPr>
          <w:rFonts w:hint="default" w:ascii="Times New Roman" w:hAnsi="Times New Roman" w:cs="Times New Roman"/>
          <w:sz w:val="32"/>
          <w:szCs w:val="32"/>
          <w:highlight w:val="none"/>
          <w:lang w:val="en-US" w:eastAsia="zh-CN"/>
        </w:rPr>
        <w:t>，</w:t>
      </w:r>
      <w:r>
        <w:rPr>
          <w:rFonts w:hint="default" w:ascii="Times New Roman" w:hAnsi="Times New Roman" w:eastAsia="仿宋_GB2312" w:cs="Times New Roman"/>
          <w:sz w:val="32"/>
          <w:szCs w:val="32"/>
          <w:highlight w:val="none"/>
          <w:lang w:val="en-US" w:eastAsia="zh-CN"/>
        </w:rPr>
        <w:t>按照检测下限报出，</w:t>
      </w:r>
      <w:r>
        <w:rPr>
          <w:rFonts w:hint="default" w:ascii="Times New Roman" w:hAnsi="Times New Roman" w:cs="Times New Roman"/>
          <w:sz w:val="32"/>
          <w:szCs w:val="32"/>
          <w:highlight w:val="none"/>
          <w:lang w:val="en-US" w:eastAsia="zh-CN"/>
        </w:rPr>
        <w:t>该杂质元素不</w:t>
      </w:r>
      <w:r>
        <w:rPr>
          <w:rFonts w:hint="default" w:ascii="Times New Roman" w:hAnsi="Times New Roman" w:eastAsia="仿宋_GB2312" w:cs="Times New Roman"/>
          <w:sz w:val="32"/>
          <w:szCs w:val="32"/>
          <w:highlight w:val="none"/>
          <w:lang w:val="en-US" w:eastAsia="zh-CN"/>
        </w:rPr>
        <w:t>参与减量</w:t>
      </w:r>
      <w:r>
        <w:rPr>
          <w:rStyle w:val="11"/>
          <w:rFonts w:hint="default" w:ascii="Times New Roman" w:hAnsi="Times New Roman" w:eastAsia="仿宋_GB2312" w:cs="Times New Roman"/>
          <w:sz w:val="32"/>
          <w:szCs w:val="32"/>
          <w:highlight w:val="none"/>
          <w:lang w:val="en-US" w:eastAsia="zh-CN"/>
        </w:rPr>
        <w:footnoteReference w:id="0"/>
      </w:r>
      <w:r>
        <w:rPr>
          <w:rFonts w:hint="default" w:ascii="Times New Roman" w:hAnsi="Times New Roman" w:eastAsia="仿宋_GB2312" w:cs="Times New Roman"/>
          <w:sz w:val="32"/>
          <w:szCs w:val="32"/>
          <w:highlight w:val="none"/>
          <w:lang w:val="en-US" w:eastAsia="zh-CN"/>
        </w:rPr>
        <w:t>。</w:t>
      </w:r>
    </w:p>
    <w:p>
      <w:pPr>
        <w:pStyle w:val="2"/>
        <w:jc w:val="right"/>
        <w:rPr>
          <w:rFonts w:hint="default" w:eastAsia="仿宋_GB2312"/>
          <w:highlight w:val="none"/>
          <w:lang w:val="en-US" w:eastAsia="zh-CN"/>
        </w:rPr>
      </w:pPr>
      <w:r>
        <w:rPr>
          <w:rFonts w:hint="default" w:eastAsia="仿宋_GB2312"/>
          <w:sz w:val="32"/>
          <w:szCs w:val="32"/>
          <w:highlight w:val="none"/>
          <w:lang w:val="en-US" w:eastAsia="zh-CN"/>
        </w:rPr>
        <w:t xml:space="preserve">                  表1                         %</w:t>
      </w:r>
    </w:p>
    <w:tbl>
      <w:tblPr>
        <w:tblStyle w:val="8"/>
        <w:tblW w:w="489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2920"/>
        <w:gridCol w:w="2418"/>
        <w:gridCol w:w="34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0" w:hRule="atLeast"/>
          <w:jc w:val="center"/>
        </w:trPr>
        <w:tc>
          <w:tcPr>
            <w:tcW w:w="3047" w:type="pct"/>
            <w:gridSpan w:val="2"/>
            <w:shd w:val="clear" w:color="auto" w:fill="FFFFFF"/>
            <w:tcMar>
              <w:left w:w="108" w:type="dxa"/>
              <w:right w:w="108" w:type="dxa"/>
            </w:tcMar>
            <w:vAlign w:val="center"/>
          </w:tcPr>
          <w:p>
            <w:pPr>
              <w:widowControl/>
              <w:spacing w:before="100" w:beforeAutospacing="1" w:after="100" w:afterAutospacing="1"/>
              <w:ind w:firstLine="0" w:firstLineChars="0"/>
              <w:jc w:val="center"/>
              <w:rPr>
                <w:rFonts w:ascii="Times New Roman" w:hAnsi="Times New Roman" w:eastAsia="仿宋_GB2312" w:cs="Times New Roman"/>
                <w:b w:val="0"/>
                <w:bCs w:val="0"/>
                <w:kern w:val="0"/>
                <w:sz w:val="24"/>
                <w:szCs w:val="24"/>
                <w:highlight w:val="none"/>
                <w:lang w:val="en-US" w:eastAsia="zh-CN" w:bidi="ar-SA"/>
              </w:rPr>
            </w:pPr>
            <w:r>
              <w:rPr>
                <w:rFonts w:hint="default" w:ascii="Times New Roman" w:hAnsi="Times New Roman" w:cs="Times New Roman"/>
                <w:b w:val="0"/>
                <w:bCs w:val="0"/>
                <w:kern w:val="0"/>
                <w:sz w:val="24"/>
                <w:szCs w:val="24"/>
                <w:highlight w:val="none"/>
                <w:lang w:val="en-US" w:eastAsia="zh-CN" w:bidi="ar-SA"/>
              </w:rPr>
              <w:t>项目</w:t>
            </w:r>
          </w:p>
        </w:tc>
        <w:tc>
          <w:tcPr>
            <w:tcW w:w="1952" w:type="pct"/>
            <w:shd w:val="clear" w:color="auto" w:fill="FFFFFF"/>
            <w:tcMar>
              <w:left w:w="108" w:type="dxa"/>
              <w:right w:w="108" w:type="dxa"/>
            </w:tcMar>
            <w:vAlign w:val="center"/>
          </w:tcPr>
          <w:p>
            <w:pPr>
              <w:widowControl/>
              <w:spacing w:before="0" w:beforeAutospacing="0" w:after="0" w:afterAutospacing="0"/>
              <w:ind w:left="0" w:leftChars="0" w:firstLine="0" w:firstLineChars="0"/>
              <w:jc w:val="center"/>
              <w:rPr>
                <w:rFonts w:hint="default" w:ascii="Times New Roman" w:hAnsi="Times New Roman" w:eastAsia="仿宋_GB2312" w:cs="Times New Roman"/>
                <w:b w:val="0"/>
                <w:bCs w:val="0"/>
                <w:kern w:val="0"/>
                <w:sz w:val="24"/>
                <w:szCs w:val="24"/>
                <w:highlight w:val="none"/>
                <w:lang w:val="en-US" w:eastAsia="zh-CN" w:bidi="ar-SA"/>
              </w:rPr>
            </w:pPr>
            <w:r>
              <w:rPr>
                <w:rFonts w:ascii="Times New Roman" w:hAnsi="Times New Roman" w:eastAsia="仿宋_GB2312" w:cs="Times New Roman"/>
                <w:b w:val="0"/>
                <w:bCs w:val="0"/>
                <w:kern w:val="0"/>
                <w:sz w:val="24"/>
                <w:szCs w:val="24"/>
                <w:highlight w:val="none"/>
                <w:lang w:val="en-US" w:eastAsia="zh-CN" w:bidi="ar-SA"/>
              </w:rPr>
              <w:t>国产铂</w:t>
            </w:r>
            <w:r>
              <w:rPr>
                <w:rFonts w:hint="default" w:ascii="Times New Roman" w:hAnsi="Times New Roman" w:cs="Times New Roman"/>
                <w:b w:val="0"/>
                <w:bCs w:val="0"/>
                <w:kern w:val="0"/>
                <w:sz w:val="24"/>
                <w:szCs w:val="24"/>
                <w:highlight w:val="none"/>
                <w:lang w:val="en-US" w:eastAsia="zh-CN" w:bidi="ar-SA"/>
              </w:rPr>
              <w:t>锭、海绵铂、铂粉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0" w:hRule="atLeast"/>
          <w:jc w:val="center"/>
        </w:trPr>
        <w:tc>
          <w:tcPr>
            <w:tcW w:w="3047" w:type="pct"/>
            <w:gridSpan w:val="2"/>
            <w:shd w:val="clear" w:color="auto" w:fill="FFFFFF"/>
            <w:tcMar>
              <w:left w:w="108" w:type="dxa"/>
              <w:right w:w="108" w:type="dxa"/>
            </w:tcMar>
            <w:vAlign w:val="center"/>
          </w:tcPr>
          <w:p>
            <w:pPr>
              <w:widowControl/>
              <w:spacing w:before="100" w:beforeAutospacing="1" w:after="100" w:afterAutospacing="1"/>
              <w:ind w:firstLine="0" w:firstLineChars="0"/>
              <w:jc w:val="center"/>
              <w:rPr>
                <w:rFonts w:ascii="Times New Roman" w:hAnsi="Times New Roman" w:eastAsia="仿宋_GB2312" w:cs="Times New Roman"/>
                <w:kern w:val="0"/>
                <w:sz w:val="24"/>
                <w:szCs w:val="24"/>
                <w:highlight w:val="none"/>
                <w:lang w:val="en-US" w:eastAsia="zh-CN" w:bidi="ar-SA"/>
              </w:rPr>
            </w:pPr>
            <w:r>
              <w:rPr>
                <w:rFonts w:ascii="Times New Roman" w:hAnsi="Times New Roman" w:eastAsia="仿宋_GB2312" w:cs="Times New Roman"/>
                <w:kern w:val="0"/>
                <w:sz w:val="24"/>
                <w:szCs w:val="24"/>
                <w:highlight w:val="none"/>
                <w:lang w:val="en-US" w:eastAsia="zh-CN" w:bidi="ar-SA"/>
              </w:rPr>
              <w:t>铂含量</w:t>
            </w:r>
            <w:r>
              <w:rPr>
                <w:rFonts w:hint="default" w:ascii="Times New Roman" w:hAnsi="Times New Roman" w:cs="Times New Roman"/>
                <w:kern w:val="0"/>
                <w:sz w:val="24"/>
                <w:szCs w:val="24"/>
                <w:highlight w:val="none"/>
                <w:lang w:val="en-US" w:eastAsia="zh-CN" w:bidi="ar-SA"/>
              </w:rPr>
              <w:t>（质量分数）</w:t>
            </w:r>
            <w:r>
              <w:rPr>
                <w:rFonts w:ascii="Times New Roman" w:hAnsi="Times New Roman" w:eastAsia="仿宋_GB2312" w:cs="Times New Roman"/>
                <w:kern w:val="0"/>
                <w:sz w:val="24"/>
                <w:szCs w:val="24"/>
                <w:highlight w:val="none"/>
                <w:lang w:val="en-US" w:eastAsia="zh-CN" w:bidi="ar-SA"/>
              </w:rPr>
              <w:t>≥</w:t>
            </w:r>
          </w:p>
        </w:tc>
        <w:tc>
          <w:tcPr>
            <w:tcW w:w="1952" w:type="pct"/>
            <w:shd w:val="clear" w:color="auto" w:fill="FFFFFF"/>
            <w:tcMar>
              <w:left w:w="108" w:type="dxa"/>
              <w:right w:w="108" w:type="dxa"/>
            </w:tcMar>
            <w:vAlign w:val="center"/>
          </w:tcPr>
          <w:p>
            <w:pPr>
              <w:widowControl/>
              <w:spacing w:before="100" w:beforeAutospacing="1" w:after="100" w:afterAutospacing="1"/>
              <w:ind w:left="0" w:leftChars="0" w:firstLine="0" w:firstLineChars="0"/>
              <w:jc w:val="center"/>
              <w:rPr>
                <w:rFonts w:ascii="Times New Roman" w:hAnsi="Times New Roman" w:eastAsia="仿宋_GB2312" w:cs="Times New Roman"/>
                <w:kern w:val="0"/>
                <w:sz w:val="24"/>
                <w:szCs w:val="24"/>
                <w:highlight w:val="none"/>
                <w:lang w:val="en-US" w:eastAsia="zh-CN" w:bidi="ar-SA"/>
              </w:rPr>
            </w:pPr>
            <w:r>
              <w:rPr>
                <w:rFonts w:ascii="Times New Roman" w:hAnsi="Times New Roman" w:eastAsia="仿宋_GB2312" w:cs="Times New Roman"/>
                <w:kern w:val="0"/>
                <w:sz w:val="24"/>
                <w:szCs w:val="24"/>
                <w:highlight w:val="none"/>
                <w:lang w:val="en-US" w:eastAsia="zh-CN" w:bidi="ar-SA"/>
              </w:rPr>
              <w:t>99.95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0" w:hRule="atLeast"/>
          <w:jc w:val="center"/>
        </w:trPr>
        <w:tc>
          <w:tcPr>
            <w:tcW w:w="1667" w:type="pct"/>
            <w:vMerge w:val="restart"/>
            <w:shd w:val="clear" w:color="auto" w:fill="FFFFFF"/>
            <w:tcMar>
              <w:left w:w="108" w:type="dxa"/>
              <w:right w:w="108" w:type="dxa"/>
            </w:tcMar>
            <w:vAlign w:val="center"/>
          </w:tcPr>
          <w:p>
            <w:pPr>
              <w:widowControl/>
              <w:spacing w:before="100" w:beforeAutospacing="1" w:after="100" w:afterAutospacing="1" w:line="240" w:lineRule="auto"/>
              <w:ind w:firstLine="0" w:firstLineChars="0"/>
              <w:jc w:val="center"/>
              <w:rPr>
                <w:rFonts w:ascii="Times New Roman" w:hAnsi="Times New Roman" w:eastAsia="仿宋_GB2312" w:cs="Times New Roman"/>
                <w:kern w:val="0"/>
                <w:sz w:val="24"/>
                <w:szCs w:val="24"/>
                <w:highlight w:val="none"/>
                <w:lang w:val="en-US" w:eastAsia="zh-CN" w:bidi="ar-SA"/>
              </w:rPr>
            </w:pPr>
          </w:p>
          <w:p>
            <w:pPr>
              <w:widowControl/>
              <w:spacing w:before="100" w:beforeAutospacing="1" w:after="100" w:afterAutospacing="1" w:line="240" w:lineRule="auto"/>
              <w:ind w:firstLine="0" w:firstLineChars="0"/>
              <w:jc w:val="center"/>
              <w:rPr>
                <w:rFonts w:ascii="Times New Roman" w:hAnsi="Times New Roman" w:eastAsia="仿宋_GB2312" w:cs="Times New Roman"/>
                <w:kern w:val="0"/>
                <w:sz w:val="24"/>
                <w:szCs w:val="24"/>
                <w:highlight w:val="none"/>
                <w:lang w:val="en-US" w:eastAsia="zh-CN" w:bidi="ar-SA"/>
              </w:rPr>
            </w:pPr>
          </w:p>
          <w:p>
            <w:pPr>
              <w:widowControl/>
              <w:spacing w:before="100" w:beforeAutospacing="1" w:after="100" w:afterAutospacing="1" w:line="240" w:lineRule="auto"/>
              <w:ind w:firstLine="0" w:firstLineChars="0"/>
              <w:jc w:val="center"/>
              <w:rPr>
                <w:rFonts w:ascii="Times New Roman" w:hAnsi="Times New Roman" w:eastAsia="仿宋_GB2312" w:cs="Times New Roman"/>
                <w:kern w:val="0"/>
                <w:sz w:val="24"/>
                <w:szCs w:val="24"/>
                <w:highlight w:val="none"/>
                <w:lang w:val="en-US" w:eastAsia="zh-CN" w:bidi="ar-SA"/>
              </w:rPr>
            </w:pPr>
          </w:p>
          <w:p>
            <w:pPr>
              <w:widowControl/>
              <w:spacing w:before="100" w:beforeAutospacing="1" w:after="100" w:afterAutospacing="1" w:line="240" w:lineRule="auto"/>
              <w:ind w:firstLine="0" w:firstLineChars="0"/>
              <w:jc w:val="center"/>
              <w:rPr>
                <w:rFonts w:ascii="Times New Roman" w:hAnsi="Times New Roman" w:eastAsia="仿宋_GB2312" w:cs="Times New Roman"/>
                <w:kern w:val="0"/>
                <w:sz w:val="24"/>
                <w:szCs w:val="24"/>
                <w:highlight w:val="none"/>
                <w:lang w:val="en-US" w:eastAsia="zh-CN" w:bidi="ar-SA"/>
              </w:rPr>
            </w:pPr>
          </w:p>
          <w:p>
            <w:pPr>
              <w:widowControl/>
              <w:spacing w:before="100" w:beforeAutospacing="1" w:after="100" w:afterAutospacing="1" w:line="240" w:lineRule="auto"/>
              <w:ind w:firstLine="0" w:firstLineChars="0"/>
              <w:jc w:val="center"/>
              <w:rPr>
                <w:rFonts w:ascii="Times New Roman" w:hAnsi="Times New Roman" w:eastAsia="仿宋_GB2312" w:cs="Times New Roman"/>
                <w:kern w:val="0"/>
                <w:sz w:val="24"/>
                <w:szCs w:val="24"/>
                <w:highlight w:val="none"/>
                <w:lang w:val="en-US" w:eastAsia="zh-CN" w:bidi="ar-SA"/>
              </w:rPr>
            </w:pPr>
          </w:p>
          <w:p>
            <w:pPr>
              <w:widowControl/>
              <w:spacing w:before="100" w:beforeAutospacing="1" w:after="100" w:afterAutospacing="1" w:line="240" w:lineRule="auto"/>
              <w:ind w:firstLine="0" w:firstLineChars="0"/>
              <w:jc w:val="center"/>
              <w:rPr>
                <w:rFonts w:ascii="Times New Roman" w:hAnsi="Times New Roman" w:eastAsia="仿宋_GB2312" w:cs="Times New Roman"/>
                <w:kern w:val="0"/>
                <w:sz w:val="24"/>
                <w:szCs w:val="24"/>
                <w:highlight w:val="none"/>
                <w:lang w:val="en-US" w:eastAsia="zh-CN" w:bidi="ar-SA"/>
              </w:rPr>
            </w:pPr>
          </w:p>
          <w:p>
            <w:pPr>
              <w:widowControl/>
              <w:spacing w:before="100" w:beforeAutospacing="1" w:after="100" w:afterAutospacing="1" w:line="240" w:lineRule="auto"/>
              <w:ind w:firstLine="0" w:firstLineChars="0"/>
              <w:jc w:val="center"/>
              <w:rPr>
                <w:rFonts w:ascii="Times New Roman" w:hAnsi="Times New Roman" w:eastAsia="仿宋_GB2312" w:cs="Times New Roman"/>
                <w:kern w:val="0"/>
                <w:sz w:val="24"/>
                <w:szCs w:val="24"/>
                <w:highlight w:val="none"/>
                <w:lang w:val="en-US" w:eastAsia="zh-CN" w:bidi="ar-SA"/>
              </w:rPr>
            </w:pPr>
            <w:r>
              <w:rPr>
                <w:rFonts w:ascii="Times New Roman" w:hAnsi="Times New Roman" w:eastAsia="仿宋_GB2312" w:cs="Times New Roman"/>
                <w:kern w:val="0"/>
                <w:sz w:val="24"/>
                <w:szCs w:val="24"/>
                <w:highlight w:val="none"/>
                <w:lang w:val="en-US" w:eastAsia="zh-CN" w:bidi="ar-SA"/>
              </w:rPr>
              <w:t>杂质元素含量</w:t>
            </w:r>
            <w:r>
              <w:rPr>
                <w:rFonts w:hint="default" w:ascii="Times New Roman" w:hAnsi="Times New Roman" w:cs="Times New Roman"/>
                <w:kern w:val="0"/>
                <w:sz w:val="24"/>
                <w:szCs w:val="24"/>
                <w:highlight w:val="none"/>
                <w:lang w:val="en-US" w:eastAsia="zh-CN" w:bidi="ar-SA"/>
              </w:rPr>
              <w:t xml:space="preserve">（质量分数） </w:t>
            </w:r>
            <w:r>
              <w:rPr>
                <w:rFonts w:ascii="Times New Roman" w:hAnsi="Times New Roman" w:eastAsia="仿宋_GB2312" w:cs="Times New Roman"/>
                <w:kern w:val="0"/>
                <w:sz w:val="24"/>
                <w:szCs w:val="24"/>
                <w:highlight w:val="none"/>
                <w:lang w:val="en-US" w:eastAsia="zh-CN" w:bidi="ar-SA"/>
              </w:rPr>
              <w:t>≤</w:t>
            </w:r>
          </w:p>
        </w:tc>
        <w:tc>
          <w:tcPr>
            <w:tcW w:w="1379" w:type="pct"/>
            <w:shd w:val="clear" w:color="auto" w:fill="FFFFFF"/>
            <w:tcMar>
              <w:left w:w="108" w:type="dxa"/>
              <w:right w:w="108" w:type="dxa"/>
            </w:tcMar>
            <w:vAlign w:val="center"/>
          </w:tcPr>
          <w:p>
            <w:pPr>
              <w:widowControl/>
              <w:spacing w:before="100" w:beforeAutospacing="1" w:after="100" w:afterAutospacing="1"/>
              <w:ind w:left="0" w:leftChars="0" w:firstLine="0" w:firstLineChars="0"/>
              <w:jc w:val="center"/>
              <w:rPr>
                <w:rFonts w:ascii="Times New Roman" w:hAnsi="Times New Roman" w:eastAsia="仿宋_GB2312" w:cs="Times New Roman"/>
                <w:kern w:val="0"/>
                <w:sz w:val="24"/>
                <w:szCs w:val="24"/>
                <w:highlight w:val="none"/>
                <w:lang w:val="en-US" w:eastAsia="zh-CN" w:bidi="ar-SA"/>
              </w:rPr>
            </w:pPr>
            <w:r>
              <w:rPr>
                <w:rFonts w:ascii="Times New Roman" w:hAnsi="Times New Roman" w:eastAsia="仿宋_GB2312" w:cs="Times New Roman"/>
                <w:kern w:val="0"/>
                <w:sz w:val="24"/>
                <w:szCs w:val="24"/>
                <w:highlight w:val="none"/>
                <w:lang w:val="en-US" w:eastAsia="zh-CN" w:bidi="ar-SA"/>
              </w:rPr>
              <w:t>Pd</w:t>
            </w:r>
          </w:p>
        </w:tc>
        <w:tc>
          <w:tcPr>
            <w:tcW w:w="1952" w:type="pct"/>
            <w:shd w:val="clear" w:color="auto" w:fill="FFFFFF"/>
            <w:tcMar>
              <w:left w:w="108" w:type="dxa"/>
              <w:right w:w="108" w:type="dxa"/>
            </w:tcMar>
            <w:vAlign w:val="center"/>
          </w:tcPr>
          <w:p>
            <w:pPr>
              <w:widowControl/>
              <w:spacing w:before="100" w:beforeAutospacing="1" w:after="100" w:afterAutospacing="1"/>
              <w:ind w:left="0" w:leftChars="0" w:firstLine="0" w:firstLineChars="0"/>
              <w:jc w:val="center"/>
              <w:rPr>
                <w:rFonts w:ascii="Times New Roman" w:hAnsi="Times New Roman" w:eastAsia="仿宋_GB2312" w:cs="Times New Roman"/>
                <w:kern w:val="0"/>
                <w:sz w:val="24"/>
                <w:szCs w:val="24"/>
                <w:highlight w:val="none"/>
                <w:lang w:val="en-US" w:eastAsia="zh-CN" w:bidi="ar-SA"/>
              </w:rPr>
            </w:pPr>
            <w:r>
              <w:rPr>
                <w:rFonts w:ascii="Times New Roman" w:hAnsi="Times New Roman" w:eastAsia="仿宋_GB2312" w:cs="Times New Roman"/>
                <w:kern w:val="0"/>
                <w:sz w:val="24"/>
                <w:szCs w:val="24"/>
                <w:highlight w:val="none"/>
                <w:lang w:val="en-US" w:eastAsia="zh-CN" w:bidi="ar-SA"/>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0" w:hRule="atLeast"/>
          <w:jc w:val="center"/>
        </w:trPr>
        <w:tc>
          <w:tcPr>
            <w:tcW w:w="1667" w:type="pct"/>
            <w:vMerge w:val="continue"/>
            <w:shd w:val="clear" w:color="auto" w:fill="FFFFFF"/>
            <w:tcMar>
              <w:left w:w="108" w:type="dxa"/>
              <w:right w:w="108" w:type="dxa"/>
            </w:tcMar>
            <w:vAlign w:val="center"/>
          </w:tcPr>
          <w:p>
            <w:pPr>
              <w:spacing w:line="240" w:lineRule="auto"/>
              <w:ind w:firstLine="0" w:firstLineChars="0"/>
              <w:jc w:val="center"/>
              <w:rPr>
                <w:rFonts w:ascii="Times New Roman" w:hAnsi="Times New Roman" w:eastAsia="仿宋_GB2312" w:cs="Times New Roman"/>
                <w:sz w:val="21"/>
                <w:szCs w:val="22"/>
                <w:highlight w:val="none"/>
              </w:rPr>
            </w:pPr>
          </w:p>
        </w:tc>
        <w:tc>
          <w:tcPr>
            <w:tcW w:w="1379" w:type="pct"/>
            <w:shd w:val="clear" w:color="auto" w:fill="FFFFFF"/>
            <w:tcMar>
              <w:left w:w="108" w:type="dxa"/>
              <w:right w:w="108" w:type="dxa"/>
            </w:tcMar>
            <w:vAlign w:val="center"/>
          </w:tcPr>
          <w:p>
            <w:pPr>
              <w:widowControl/>
              <w:spacing w:before="100" w:beforeAutospacing="1" w:after="100" w:afterAutospacing="1"/>
              <w:ind w:left="0" w:leftChars="0" w:firstLine="0" w:firstLineChars="0"/>
              <w:jc w:val="center"/>
              <w:rPr>
                <w:rFonts w:ascii="Times New Roman" w:hAnsi="Times New Roman" w:eastAsia="仿宋_GB2312" w:cs="Times New Roman"/>
                <w:kern w:val="0"/>
                <w:sz w:val="24"/>
                <w:szCs w:val="24"/>
                <w:highlight w:val="none"/>
                <w:lang w:val="en-US" w:eastAsia="zh-CN" w:bidi="ar-SA"/>
              </w:rPr>
            </w:pPr>
            <w:r>
              <w:rPr>
                <w:rFonts w:ascii="Times New Roman" w:hAnsi="Times New Roman" w:eastAsia="仿宋_GB2312" w:cs="Times New Roman"/>
                <w:kern w:val="0"/>
                <w:sz w:val="24"/>
                <w:szCs w:val="24"/>
                <w:highlight w:val="none"/>
                <w:lang w:val="en-US" w:eastAsia="zh-CN" w:bidi="ar-SA"/>
              </w:rPr>
              <w:t>Rh</w:t>
            </w:r>
          </w:p>
        </w:tc>
        <w:tc>
          <w:tcPr>
            <w:tcW w:w="1952" w:type="pct"/>
            <w:shd w:val="clear" w:color="auto" w:fill="FFFFFF"/>
            <w:tcMar>
              <w:left w:w="108" w:type="dxa"/>
              <w:right w:w="108" w:type="dxa"/>
            </w:tcMar>
            <w:vAlign w:val="center"/>
          </w:tcPr>
          <w:p>
            <w:pPr>
              <w:widowControl/>
              <w:spacing w:before="100" w:beforeAutospacing="1" w:after="100" w:afterAutospacing="1"/>
              <w:ind w:left="0" w:leftChars="0" w:firstLine="0" w:firstLineChars="0"/>
              <w:jc w:val="center"/>
              <w:rPr>
                <w:rFonts w:ascii="Times New Roman" w:hAnsi="Times New Roman" w:eastAsia="仿宋_GB2312" w:cs="Times New Roman"/>
                <w:kern w:val="0"/>
                <w:sz w:val="24"/>
                <w:szCs w:val="24"/>
                <w:highlight w:val="none"/>
                <w:lang w:val="en-US" w:eastAsia="zh-CN" w:bidi="ar-SA"/>
              </w:rPr>
            </w:pPr>
            <w:r>
              <w:rPr>
                <w:rFonts w:ascii="Times New Roman" w:hAnsi="Times New Roman" w:eastAsia="仿宋_GB2312" w:cs="Times New Roman"/>
                <w:kern w:val="0"/>
                <w:sz w:val="24"/>
                <w:szCs w:val="24"/>
                <w:highlight w:val="none"/>
                <w:lang w:val="en-US" w:eastAsia="zh-CN" w:bidi="ar-SA"/>
              </w:rPr>
              <w:t>0.02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0" w:hRule="atLeast"/>
          <w:jc w:val="center"/>
        </w:trPr>
        <w:tc>
          <w:tcPr>
            <w:tcW w:w="1667" w:type="pct"/>
            <w:vMerge w:val="continue"/>
            <w:shd w:val="clear" w:color="auto" w:fill="FFFFFF"/>
            <w:tcMar>
              <w:left w:w="108" w:type="dxa"/>
              <w:right w:w="108" w:type="dxa"/>
            </w:tcMar>
            <w:vAlign w:val="center"/>
          </w:tcPr>
          <w:p>
            <w:pPr>
              <w:spacing w:line="240" w:lineRule="auto"/>
              <w:ind w:firstLine="0" w:firstLineChars="0"/>
              <w:jc w:val="center"/>
              <w:rPr>
                <w:rFonts w:ascii="Times New Roman" w:hAnsi="Times New Roman" w:eastAsia="仿宋_GB2312" w:cs="Times New Roman"/>
                <w:sz w:val="21"/>
                <w:szCs w:val="22"/>
                <w:highlight w:val="none"/>
              </w:rPr>
            </w:pPr>
          </w:p>
        </w:tc>
        <w:tc>
          <w:tcPr>
            <w:tcW w:w="1379" w:type="pct"/>
            <w:shd w:val="clear" w:color="auto" w:fill="FFFFFF"/>
            <w:tcMar>
              <w:left w:w="108" w:type="dxa"/>
              <w:right w:w="108" w:type="dxa"/>
            </w:tcMar>
            <w:vAlign w:val="center"/>
          </w:tcPr>
          <w:p>
            <w:pPr>
              <w:widowControl/>
              <w:spacing w:before="100" w:beforeAutospacing="1" w:after="100" w:afterAutospacing="1"/>
              <w:ind w:left="0" w:leftChars="0" w:firstLine="0" w:firstLineChars="0"/>
              <w:jc w:val="center"/>
              <w:rPr>
                <w:rFonts w:ascii="Times New Roman" w:hAnsi="Times New Roman" w:eastAsia="仿宋_GB2312" w:cs="Times New Roman"/>
                <w:kern w:val="0"/>
                <w:sz w:val="24"/>
                <w:szCs w:val="24"/>
                <w:highlight w:val="none"/>
                <w:lang w:val="en-US" w:eastAsia="zh-CN" w:bidi="ar-SA"/>
              </w:rPr>
            </w:pPr>
            <w:r>
              <w:rPr>
                <w:rFonts w:ascii="Times New Roman" w:hAnsi="Times New Roman" w:eastAsia="仿宋_GB2312" w:cs="Times New Roman"/>
                <w:kern w:val="0"/>
                <w:sz w:val="24"/>
                <w:szCs w:val="24"/>
                <w:highlight w:val="none"/>
                <w:lang w:val="en-US" w:eastAsia="zh-CN" w:bidi="ar-SA"/>
              </w:rPr>
              <w:t>Ir</w:t>
            </w:r>
          </w:p>
        </w:tc>
        <w:tc>
          <w:tcPr>
            <w:tcW w:w="1952" w:type="pct"/>
            <w:shd w:val="clear" w:color="auto" w:fill="FFFFFF"/>
            <w:tcMar>
              <w:left w:w="108" w:type="dxa"/>
              <w:right w:w="108" w:type="dxa"/>
            </w:tcMar>
            <w:vAlign w:val="center"/>
          </w:tcPr>
          <w:p>
            <w:pPr>
              <w:widowControl/>
              <w:spacing w:before="100" w:beforeAutospacing="1" w:after="100" w:afterAutospacing="1"/>
              <w:ind w:left="0" w:leftChars="0" w:firstLine="0" w:firstLineChars="0"/>
              <w:jc w:val="center"/>
              <w:rPr>
                <w:rFonts w:ascii="Times New Roman" w:hAnsi="Times New Roman" w:eastAsia="仿宋_GB2312" w:cs="Times New Roman"/>
                <w:kern w:val="0"/>
                <w:sz w:val="24"/>
                <w:szCs w:val="24"/>
                <w:highlight w:val="none"/>
                <w:lang w:val="en-US" w:eastAsia="zh-CN" w:bidi="ar-SA"/>
              </w:rPr>
            </w:pPr>
            <w:r>
              <w:rPr>
                <w:rFonts w:ascii="Times New Roman" w:hAnsi="Times New Roman" w:eastAsia="仿宋_GB2312" w:cs="Times New Roman"/>
                <w:kern w:val="0"/>
                <w:sz w:val="24"/>
                <w:szCs w:val="24"/>
                <w:highlight w:val="none"/>
                <w:lang w:val="en-US" w:eastAsia="zh-CN" w:bidi="ar-SA"/>
              </w:rPr>
              <w:t>0.02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0" w:hRule="atLeast"/>
          <w:jc w:val="center"/>
        </w:trPr>
        <w:tc>
          <w:tcPr>
            <w:tcW w:w="1667" w:type="pct"/>
            <w:vMerge w:val="continue"/>
            <w:shd w:val="clear" w:color="auto" w:fill="FFFFFF"/>
            <w:tcMar>
              <w:left w:w="108" w:type="dxa"/>
              <w:right w:w="108" w:type="dxa"/>
            </w:tcMar>
            <w:vAlign w:val="center"/>
          </w:tcPr>
          <w:p>
            <w:pPr>
              <w:spacing w:line="240" w:lineRule="auto"/>
              <w:ind w:firstLine="0" w:firstLineChars="0"/>
              <w:jc w:val="center"/>
              <w:rPr>
                <w:rFonts w:ascii="Times New Roman" w:hAnsi="Times New Roman" w:eastAsia="仿宋_GB2312" w:cs="Times New Roman"/>
                <w:sz w:val="21"/>
                <w:szCs w:val="22"/>
                <w:highlight w:val="none"/>
              </w:rPr>
            </w:pPr>
          </w:p>
        </w:tc>
        <w:tc>
          <w:tcPr>
            <w:tcW w:w="1379" w:type="pct"/>
            <w:shd w:val="clear" w:color="auto" w:fill="FFFFFF"/>
            <w:tcMar>
              <w:left w:w="108" w:type="dxa"/>
              <w:right w:w="108" w:type="dxa"/>
            </w:tcMar>
            <w:vAlign w:val="center"/>
          </w:tcPr>
          <w:p>
            <w:pPr>
              <w:widowControl/>
              <w:spacing w:before="100" w:beforeAutospacing="1" w:after="100" w:afterAutospacing="1"/>
              <w:ind w:left="0" w:leftChars="0" w:firstLine="0" w:firstLineChars="0"/>
              <w:jc w:val="center"/>
              <w:rPr>
                <w:rFonts w:ascii="Times New Roman" w:hAnsi="Times New Roman" w:eastAsia="仿宋_GB2312" w:cs="Times New Roman"/>
                <w:kern w:val="0"/>
                <w:sz w:val="24"/>
                <w:szCs w:val="24"/>
                <w:highlight w:val="none"/>
                <w:lang w:val="en-US" w:eastAsia="zh-CN" w:bidi="ar-SA"/>
              </w:rPr>
            </w:pPr>
            <w:r>
              <w:rPr>
                <w:rFonts w:ascii="Times New Roman" w:hAnsi="Times New Roman" w:eastAsia="仿宋_GB2312" w:cs="Times New Roman"/>
                <w:kern w:val="0"/>
                <w:sz w:val="24"/>
                <w:szCs w:val="24"/>
                <w:highlight w:val="none"/>
                <w:lang w:val="en-US" w:eastAsia="zh-CN" w:bidi="ar-SA"/>
              </w:rPr>
              <w:t>Ru</w:t>
            </w:r>
          </w:p>
        </w:tc>
        <w:tc>
          <w:tcPr>
            <w:tcW w:w="1952" w:type="pct"/>
            <w:shd w:val="clear" w:color="auto" w:fill="FFFFFF"/>
            <w:tcMar>
              <w:left w:w="108" w:type="dxa"/>
              <w:right w:w="108" w:type="dxa"/>
            </w:tcMar>
            <w:vAlign w:val="center"/>
          </w:tcPr>
          <w:p>
            <w:pPr>
              <w:widowControl/>
              <w:spacing w:before="100" w:beforeAutospacing="1" w:after="100" w:afterAutospacing="1"/>
              <w:ind w:left="0" w:leftChars="0" w:firstLine="0" w:firstLineChars="0"/>
              <w:jc w:val="center"/>
              <w:rPr>
                <w:rFonts w:ascii="Times New Roman" w:hAnsi="Times New Roman" w:eastAsia="仿宋_GB2312" w:cs="Times New Roman"/>
                <w:kern w:val="0"/>
                <w:sz w:val="24"/>
                <w:szCs w:val="24"/>
                <w:highlight w:val="none"/>
                <w:lang w:val="en-US" w:eastAsia="zh-CN" w:bidi="ar-SA"/>
              </w:rPr>
            </w:pPr>
            <w:r>
              <w:rPr>
                <w:rFonts w:ascii="Times New Roman" w:hAnsi="Times New Roman" w:eastAsia="仿宋_GB2312" w:cs="Times New Roman"/>
                <w:kern w:val="0"/>
                <w:sz w:val="24"/>
                <w:szCs w:val="24"/>
                <w:highlight w:val="none"/>
                <w:lang w:val="en-US" w:eastAsia="zh-CN" w:bidi="ar-SA"/>
              </w:rPr>
              <w:t>0.02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0" w:hRule="atLeast"/>
          <w:jc w:val="center"/>
        </w:trPr>
        <w:tc>
          <w:tcPr>
            <w:tcW w:w="1667" w:type="pct"/>
            <w:vMerge w:val="continue"/>
            <w:shd w:val="clear" w:color="auto" w:fill="FFFFFF"/>
            <w:tcMar>
              <w:left w:w="108" w:type="dxa"/>
              <w:right w:w="108" w:type="dxa"/>
            </w:tcMar>
            <w:vAlign w:val="center"/>
          </w:tcPr>
          <w:p>
            <w:pPr>
              <w:spacing w:line="240" w:lineRule="auto"/>
              <w:ind w:firstLine="0" w:firstLineChars="0"/>
              <w:jc w:val="center"/>
              <w:rPr>
                <w:rFonts w:ascii="Times New Roman" w:hAnsi="Times New Roman" w:eastAsia="仿宋_GB2312" w:cs="Times New Roman"/>
                <w:sz w:val="21"/>
                <w:szCs w:val="22"/>
                <w:highlight w:val="none"/>
              </w:rPr>
            </w:pPr>
          </w:p>
        </w:tc>
        <w:tc>
          <w:tcPr>
            <w:tcW w:w="1379" w:type="pct"/>
            <w:shd w:val="clear" w:color="auto" w:fill="FFFFFF"/>
            <w:tcMar>
              <w:left w:w="108" w:type="dxa"/>
              <w:right w:w="108" w:type="dxa"/>
            </w:tcMar>
            <w:vAlign w:val="center"/>
          </w:tcPr>
          <w:p>
            <w:pPr>
              <w:widowControl/>
              <w:spacing w:before="100" w:beforeAutospacing="1" w:after="100" w:afterAutospacing="1"/>
              <w:ind w:left="0" w:leftChars="0" w:firstLine="0" w:firstLineChars="0"/>
              <w:jc w:val="center"/>
              <w:rPr>
                <w:rFonts w:ascii="Times New Roman" w:hAnsi="Times New Roman" w:eastAsia="仿宋_GB2312" w:cs="Times New Roman"/>
                <w:kern w:val="0"/>
                <w:sz w:val="24"/>
                <w:szCs w:val="24"/>
                <w:highlight w:val="none"/>
                <w:lang w:val="en-US" w:eastAsia="zh-CN" w:bidi="ar-SA"/>
              </w:rPr>
            </w:pPr>
            <w:r>
              <w:rPr>
                <w:rFonts w:ascii="Times New Roman" w:hAnsi="Times New Roman" w:eastAsia="仿宋_GB2312" w:cs="Times New Roman"/>
                <w:kern w:val="0"/>
                <w:sz w:val="24"/>
                <w:szCs w:val="24"/>
                <w:highlight w:val="none"/>
                <w:lang w:val="en-US" w:eastAsia="zh-CN" w:bidi="ar-SA"/>
              </w:rPr>
              <w:t>Au</w:t>
            </w:r>
          </w:p>
        </w:tc>
        <w:tc>
          <w:tcPr>
            <w:tcW w:w="1952" w:type="pct"/>
            <w:shd w:val="clear" w:color="auto" w:fill="FFFFFF"/>
            <w:tcMar>
              <w:left w:w="108" w:type="dxa"/>
              <w:right w:w="108" w:type="dxa"/>
            </w:tcMar>
            <w:vAlign w:val="center"/>
          </w:tcPr>
          <w:p>
            <w:pPr>
              <w:widowControl/>
              <w:spacing w:before="100" w:beforeAutospacing="1" w:after="100" w:afterAutospacing="1"/>
              <w:ind w:left="0" w:leftChars="0" w:firstLine="0" w:firstLineChars="0"/>
              <w:jc w:val="center"/>
              <w:rPr>
                <w:rFonts w:ascii="Times New Roman" w:hAnsi="Times New Roman" w:eastAsia="仿宋_GB2312" w:cs="Times New Roman"/>
                <w:kern w:val="0"/>
                <w:sz w:val="24"/>
                <w:szCs w:val="24"/>
                <w:highlight w:val="none"/>
                <w:lang w:val="en-US" w:eastAsia="zh-CN" w:bidi="ar-SA"/>
              </w:rPr>
            </w:pPr>
            <w:r>
              <w:rPr>
                <w:rFonts w:ascii="Times New Roman" w:hAnsi="Times New Roman" w:eastAsia="仿宋_GB2312" w:cs="Times New Roman"/>
                <w:kern w:val="0"/>
                <w:sz w:val="24"/>
                <w:szCs w:val="24"/>
                <w:highlight w:val="none"/>
                <w:lang w:val="en-US" w:eastAsia="zh-CN" w:bidi="ar-SA"/>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0" w:hRule="atLeast"/>
          <w:jc w:val="center"/>
        </w:trPr>
        <w:tc>
          <w:tcPr>
            <w:tcW w:w="1667" w:type="pct"/>
            <w:vMerge w:val="continue"/>
            <w:shd w:val="clear" w:color="auto" w:fill="FFFFFF"/>
            <w:tcMar>
              <w:left w:w="108" w:type="dxa"/>
              <w:right w:w="108" w:type="dxa"/>
            </w:tcMar>
            <w:vAlign w:val="center"/>
          </w:tcPr>
          <w:p>
            <w:pPr>
              <w:spacing w:line="240" w:lineRule="auto"/>
              <w:ind w:firstLine="0" w:firstLineChars="0"/>
              <w:jc w:val="center"/>
              <w:rPr>
                <w:rFonts w:ascii="Times New Roman" w:hAnsi="Times New Roman" w:eastAsia="仿宋_GB2312" w:cs="Times New Roman"/>
                <w:sz w:val="21"/>
                <w:szCs w:val="22"/>
                <w:highlight w:val="none"/>
              </w:rPr>
            </w:pPr>
          </w:p>
        </w:tc>
        <w:tc>
          <w:tcPr>
            <w:tcW w:w="1379" w:type="pct"/>
            <w:shd w:val="clear" w:color="auto" w:fill="FFFFFF"/>
            <w:tcMar>
              <w:left w:w="108" w:type="dxa"/>
              <w:right w:w="108" w:type="dxa"/>
            </w:tcMar>
            <w:vAlign w:val="center"/>
          </w:tcPr>
          <w:p>
            <w:pPr>
              <w:widowControl/>
              <w:spacing w:before="100" w:beforeAutospacing="1" w:after="100" w:afterAutospacing="1"/>
              <w:ind w:left="0" w:leftChars="0" w:firstLine="0" w:firstLineChars="0"/>
              <w:jc w:val="center"/>
              <w:rPr>
                <w:rFonts w:ascii="Times New Roman" w:hAnsi="Times New Roman" w:eastAsia="仿宋_GB2312" w:cs="Times New Roman"/>
                <w:kern w:val="0"/>
                <w:sz w:val="24"/>
                <w:szCs w:val="24"/>
                <w:highlight w:val="none"/>
                <w:lang w:val="en-US" w:eastAsia="zh-CN" w:bidi="ar-SA"/>
              </w:rPr>
            </w:pPr>
            <w:r>
              <w:rPr>
                <w:rFonts w:ascii="Times New Roman" w:hAnsi="Times New Roman" w:eastAsia="仿宋_GB2312" w:cs="Times New Roman"/>
                <w:kern w:val="0"/>
                <w:sz w:val="24"/>
                <w:szCs w:val="24"/>
                <w:highlight w:val="none"/>
                <w:lang w:val="en-US" w:eastAsia="zh-CN" w:bidi="ar-SA"/>
              </w:rPr>
              <w:t>Ag</w:t>
            </w:r>
          </w:p>
        </w:tc>
        <w:tc>
          <w:tcPr>
            <w:tcW w:w="1952" w:type="pct"/>
            <w:shd w:val="clear" w:color="auto" w:fill="FFFFFF"/>
            <w:tcMar>
              <w:left w:w="108" w:type="dxa"/>
              <w:right w:w="108" w:type="dxa"/>
            </w:tcMar>
            <w:vAlign w:val="center"/>
          </w:tcPr>
          <w:p>
            <w:pPr>
              <w:widowControl/>
              <w:spacing w:before="100" w:beforeAutospacing="1" w:after="100" w:afterAutospacing="1"/>
              <w:ind w:left="0" w:leftChars="0" w:firstLine="0" w:firstLineChars="0"/>
              <w:jc w:val="center"/>
              <w:rPr>
                <w:rFonts w:ascii="Times New Roman" w:hAnsi="Times New Roman" w:eastAsia="仿宋_GB2312" w:cs="Times New Roman"/>
                <w:kern w:val="0"/>
                <w:sz w:val="24"/>
                <w:szCs w:val="24"/>
                <w:highlight w:val="none"/>
                <w:lang w:val="en-US" w:eastAsia="zh-CN" w:bidi="ar-SA"/>
              </w:rPr>
            </w:pPr>
            <w:r>
              <w:rPr>
                <w:rFonts w:ascii="Times New Roman" w:hAnsi="Times New Roman" w:eastAsia="仿宋_GB2312" w:cs="Times New Roman"/>
                <w:kern w:val="0"/>
                <w:sz w:val="24"/>
                <w:szCs w:val="24"/>
                <w:highlight w:val="none"/>
                <w:lang w:val="en-US" w:eastAsia="zh-CN" w:bidi="ar-SA"/>
              </w:rPr>
              <w:t>0.005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0" w:hRule="atLeast"/>
          <w:jc w:val="center"/>
        </w:trPr>
        <w:tc>
          <w:tcPr>
            <w:tcW w:w="1667" w:type="pct"/>
            <w:vMerge w:val="continue"/>
            <w:shd w:val="clear" w:color="auto" w:fill="FFFFFF"/>
            <w:tcMar>
              <w:left w:w="108" w:type="dxa"/>
              <w:right w:w="108" w:type="dxa"/>
            </w:tcMar>
            <w:vAlign w:val="center"/>
          </w:tcPr>
          <w:p>
            <w:pPr>
              <w:spacing w:line="240" w:lineRule="auto"/>
              <w:ind w:firstLine="0" w:firstLineChars="0"/>
              <w:jc w:val="center"/>
              <w:rPr>
                <w:rFonts w:ascii="Times New Roman" w:hAnsi="Times New Roman" w:eastAsia="仿宋_GB2312" w:cs="Times New Roman"/>
                <w:sz w:val="21"/>
                <w:szCs w:val="22"/>
                <w:highlight w:val="none"/>
              </w:rPr>
            </w:pPr>
          </w:p>
        </w:tc>
        <w:tc>
          <w:tcPr>
            <w:tcW w:w="1379" w:type="pct"/>
            <w:shd w:val="clear" w:color="auto" w:fill="FFFFFF"/>
            <w:tcMar>
              <w:left w:w="108" w:type="dxa"/>
              <w:right w:w="108" w:type="dxa"/>
            </w:tcMar>
            <w:vAlign w:val="center"/>
          </w:tcPr>
          <w:p>
            <w:pPr>
              <w:widowControl/>
              <w:spacing w:before="100" w:beforeAutospacing="1" w:after="100" w:afterAutospacing="1"/>
              <w:ind w:left="0" w:leftChars="0" w:firstLine="0" w:firstLineChars="0"/>
              <w:jc w:val="center"/>
              <w:rPr>
                <w:rFonts w:ascii="Times New Roman" w:hAnsi="Times New Roman" w:eastAsia="仿宋_GB2312" w:cs="Times New Roman"/>
                <w:kern w:val="0"/>
                <w:sz w:val="24"/>
                <w:szCs w:val="24"/>
                <w:highlight w:val="none"/>
                <w:lang w:val="en-US" w:eastAsia="zh-CN" w:bidi="ar-SA"/>
              </w:rPr>
            </w:pPr>
            <w:r>
              <w:rPr>
                <w:rFonts w:ascii="Times New Roman" w:hAnsi="Times New Roman" w:eastAsia="仿宋_GB2312" w:cs="Times New Roman"/>
                <w:kern w:val="0"/>
                <w:sz w:val="24"/>
                <w:szCs w:val="24"/>
                <w:highlight w:val="none"/>
                <w:lang w:val="en-US" w:eastAsia="zh-CN" w:bidi="ar-SA"/>
              </w:rPr>
              <w:t>Cu</w:t>
            </w:r>
          </w:p>
        </w:tc>
        <w:tc>
          <w:tcPr>
            <w:tcW w:w="1952" w:type="pct"/>
            <w:shd w:val="clear" w:color="auto" w:fill="FFFFFF"/>
            <w:tcMar>
              <w:left w:w="108" w:type="dxa"/>
              <w:right w:w="108" w:type="dxa"/>
            </w:tcMar>
            <w:vAlign w:val="center"/>
          </w:tcPr>
          <w:p>
            <w:pPr>
              <w:widowControl/>
              <w:spacing w:before="100" w:beforeAutospacing="1" w:after="100" w:afterAutospacing="1"/>
              <w:ind w:left="0" w:leftChars="0" w:firstLine="0" w:firstLineChars="0"/>
              <w:jc w:val="center"/>
              <w:rPr>
                <w:rFonts w:ascii="Times New Roman" w:hAnsi="Times New Roman" w:eastAsia="仿宋_GB2312" w:cs="Times New Roman"/>
                <w:kern w:val="0"/>
                <w:sz w:val="24"/>
                <w:szCs w:val="24"/>
                <w:highlight w:val="none"/>
                <w:lang w:val="en-US" w:eastAsia="zh-CN" w:bidi="ar-SA"/>
              </w:rPr>
            </w:pPr>
            <w:r>
              <w:rPr>
                <w:rFonts w:ascii="Times New Roman" w:hAnsi="Times New Roman" w:eastAsia="仿宋_GB2312" w:cs="Times New Roman"/>
                <w:kern w:val="0"/>
                <w:sz w:val="24"/>
                <w:szCs w:val="24"/>
                <w:highlight w:val="none"/>
                <w:lang w:val="en-US" w:eastAsia="zh-CN" w:bidi="ar-SA"/>
              </w:rPr>
              <w:t>0.005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28" w:hRule="atLeast"/>
          <w:jc w:val="center"/>
        </w:trPr>
        <w:tc>
          <w:tcPr>
            <w:tcW w:w="1667" w:type="pct"/>
            <w:vMerge w:val="continue"/>
            <w:shd w:val="clear" w:color="auto" w:fill="FFFFFF"/>
            <w:tcMar>
              <w:left w:w="108" w:type="dxa"/>
              <w:right w:w="108" w:type="dxa"/>
            </w:tcMar>
            <w:vAlign w:val="center"/>
          </w:tcPr>
          <w:p>
            <w:pPr>
              <w:spacing w:line="240" w:lineRule="auto"/>
              <w:ind w:firstLine="0" w:firstLineChars="0"/>
              <w:jc w:val="center"/>
              <w:rPr>
                <w:rFonts w:ascii="Times New Roman" w:hAnsi="Times New Roman" w:eastAsia="仿宋_GB2312" w:cs="Times New Roman"/>
                <w:sz w:val="21"/>
                <w:szCs w:val="22"/>
                <w:highlight w:val="none"/>
              </w:rPr>
            </w:pPr>
          </w:p>
        </w:tc>
        <w:tc>
          <w:tcPr>
            <w:tcW w:w="1379" w:type="pct"/>
            <w:shd w:val="clear" w:color="auto" w:fill="FFFFFF"/>
            <w:tcMar>
              <w:left w:w="108" w:type="dxa"/>
              <w:right w:w="108" w:type="dxa"/>
            </w:tcMar>
            <w:vAlign w:val="center"/>
          </w:tcPr>
          <w:p>
            <w:pPr>
              <w:widowControl/>
              <w:spacing w:before="100" w:beforeAutospacing="1" w:after="100" w:afterAutospacing="1"/>
              <w:ind w:left="0" w:leftChars="0" w:firstLine="0" w:firstLineChars="0"/>
              <w:jc w:val="center"/>
              <w:rPr>
                <w:rFonts w:ascii="Times New Roman" w:hAnsi="Times New Roman" w:eastAsia="仿宋_GB2312" w:cs="Times New Roman"/>
                <w:kern w:val="0"/>
                <w:sz w:val="24"/>
                <w:szCs w:val="24"/>
                <w:highlight w:val="none"/>
                <w:lang w:val="en-US" w:eastAsia="zh-CN" w:bidi="ar-SA"/>
              </w:rPr>
            </w:pPr>
            <w:r>
              <w:rPr>
                <w:rFonts w:ascii="Times New Roman" w:hAnsi="Times New Roman" w:eastAsia="仿宋_GB2312" w:cs="Times New Roman"/>
                <w:kern w:val="0"/>
                <w:sz w:val="24"/>
                <w:szCs w:val="24"/>
                <w:highlight w:val="none"/>
                <w:lang w:val="en-US" w:eastAsia="zh-CN" w:bidi="ar-SA"/>
              </w:rPr>
              <w:t>Fe</w:t>
            </w:r>
          </w:p>
        </w:tc>
        <w:tc>
          <w:tcPr>
            <w:tcW w:w="1952" w:type="pct"/>
            <w:shd w:val="clear" w:color="auto" w:fill="FFFFFF"/>
            <w:tcMar>
              <w:left w:w="108" w:type="dxa"/>
              <w:right w:w="108" w:type="dxa"/>
            </w:tcMar>
            <w:vAlign w:val="center"/>
          </w:tcPr>
          <w:p>
            <w:pPr>
              <w:widowControl/>
              <w:spacing w:before="100" w:beforeAutospacing="1" w:after="100" w:afterAutospacing="1"/>
              <w:ind w:left="0" w:leftChars="0" w:firstLine="0" w:firstLineChars="0"/>
              <w:jc w:val="center"/>
              <w:rPr>
                <w:rFonts w:ascii="Times New Roman" w:hAnsi="Times New Roman" w:eastAsia="仿宋_GB2312" w:cs="Times New Roman"/>
                <w:kern w:val="0"/>
                <w:sz w:val="24"/>
                <w:szCs w:val="24"/>
                <w:highlight w:val="none"/>
                <w:lang w:val="en-US" w:eastAsia="zh-CN" w:bidi="ar-SA"/>
              </w:rPr>
            </w:pPr>
            <w:r>
              <w:rPr>
                <w:rFonts w:ascii="Times New Roman" w:hAnsi="Times New Roman" w:eastAsia="仿宋_GB2312" w:cs="Times New Roman"/>
                <w:kern w:val="0"/>
                <w:sz w:val="24"/>
                <w:szCs w:val="24"/>
                <w:highlight w:val="none"/>
                <w:lang w:val="en-US" w:eastAsia="zh-CN" w:bidi="ar-SA"/>
              </w:rPr>
              <w:t>0.005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0" w:hRule="atLeast"/>
          <w:jc w:val="center"/>
        </w:trPr>
        <w:tc>
          <w:tcPr>
            <w:tcW w:w="1667" w:type="pct"/>
            <w:vMerge w:val="continue"/>
            <w:shd w:val="clear" w:color="auto" w:fill="FFFFFF"/>
            <w:tcMar>
              <w:left w:w="108" w:type="dxa"/>
              <w:right w:w="108" w:type="dxa"/>
            </w:tcMar>
            <w:vAlign w:val="center"/>
          </w:tcPr>
          <w:p>
            <w:pPr>
              <w:spacing w:line="240" w:lineRule="auto"/>
              <w:ind w:firstLine="0" w:firstLineChars="0"/>
              <w:jc w:val="center"/>
              <w:rPr>
                <w:rFonts w:ascii="Times New Roman" w:hAnsi="Times New Roman" w:eastAsia="仿宋_GB2312" w:cs="Times New Roman"/>
                <w:sz w:val="21"/>
                <w:szCs w:val="22"/>
                <w:highlight w:val="none"/>
              </w:rPr>
            </w:pPr>
          </w:p>
        </w:tc>
        <w:tc>
          <w:tcPr>
            <w:tcW w:w="1379" w:type="pct"/>
            <w:shd w:val="clear" w:color="auto" w:fill="FFFFFF"/>
            <w:tcMar>
              <w:left w:w="108" w:type="dxa"/>
              <w:right w:w="108" w:type="dxa"/>
            </w:tcMar>
            <w:vAlign w:val="center"/>
          </w:tcPr>
          <w:p>
            <w:pPr>
              <w:widowControl/>
              <w:spacing w:before="100" w:beforeAutospacing="1" w:after="100" w:afterAutospacing="1"/>
              <w:ind w:left="0" w:leftChars="0" w:firstLine="0" w:firstLineChars="0"/>
              <w:jc w:val="center"/>
              <w:rPr>
                <w:rFonts w:ascii="Times New Roman" w:hAnsi="Times New Roman" w:eastAsia="仿宋_GB2312" w:cs="Times New Roman"/>
                <w:kern w:val="0"/>
                <w:sz w:val="24"/>
                <w:szCs w:val="24"/>
                <w:highlight w:val="none"/>
                <w:lang w:val="en-US" w:eastAsia="zh-CN" w:bidi="ar-SA"/>
              </w:rPr>
            </w:pPr>
            <w:r>
              <w:rPr>
                <w:rFonts w:ascii="Times New Roman" w:hAnsi="Times New Roman" w:eastAsia="仿宋_GB2312" w:cs="Times New Roman"/>
                <w:kern w:val="0"/>
                <w:sz w:val="24"/>
                <w:szCs w:val="24"/>
                <w:highlight w:val="none"/>
                <w:lang w:val="en-US" w:eastAsia="zh-CN" w:bidi="ar-SA"/>
              </w:rPr>
              <w:t>Ni</w:t>
            </w:r>
          </w:p>
        </w:tc>
        <w:tc>
          <w:tcPr>
            <w:tcW w:w="1952" w:type="pct"/>
            <w:shd w:val="clear" w:color="auto" w:fill="FFFFFF"/>
            <w:tcMar>
              <w:left w:w="108" w:type="dxa"/>
              <w:right w:w="108" w:type="dxa"/>
            </w:tcMar>
            <w:vAlign w:val="center"/>
          </w:tcPr>
          <w:p>
            <w:pPr>
              <w:widowControl/>
              <w:spacing w:before="100" w:beforeAutospacing="1" w:after="100" w:afterAutospacing="1"/>
              <w:ind w:left="0" w:leftChars="0" w:firstLine="0" w:firstLineChars="0"/>
              <w:jc w:val="center"/>
              <w:rPr>
                <w:rFonts w:ascii="Times New Roman" w:hAnsi="Times New Roman" w:eastAsia="仿宋_GB2312" w:cs="Times New Roman"/>
                <w:kern w:val="0"/>
                <w:sz w:val="24"/>
                <w:szCs w:val="24"/>
                <w:highlight w:val="none"/>
                <w:lang w:val="en-US" w:eastAsia="zh-CN" w:bidi="ar-SA"/>
              </w:rPr>
            </w:pPr>
            <w:r>
              <w:rPr>
                <w:rFonts w:ascii="Times New Roman" w:hAnsi="Times New Roman" w:eastAsia="仿宋_GB2312" w:cs="Times New Roman"/>
                <w:kern w:val="0"/>
                <w:sz w:val="24"/>
                <w:szCs w:val="24"/>
                <w:highlight w:val="none"/>
                <w:lang w:val="en-US" w:eastAsia="zh-CN" w:bidi="ar-SA"/>
              </w:rPr>
              <w:t>0.005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0" w:hRule="atLeast"/>
          <w:jc w:val="center"/>
        </w:trPr>
        <w:tc>
          <w:tcPr>
            <w:tcW w:w="1667" w:type="pct"/>
            <w:vMerge w:val="continue"/>
            <w:shd w:val="clear" w:color="auto" w:fill="FFFFFF"/>
            <w:tcMar>
              <w:left w:w="108" w:type="dxa"/>
              <w:right w:w="108" w:type="dxa"/>
            </w:tcMar>
            <w:vAlign w:val="center"/>
          </w:tcPr>
          <w:p>
            <w:pPr>
              <w:spacing w:line="240" w:lineRule="auto"/>
              <w:ind w:firstLine="0" w:firstLineChars="0"/>
              <w:jc w:val="center"/>
              <w:rPr>
                <w:rFonts w:ascii="Times New Roman" w:hAnsi="Times New Roman" w:eastAsia="仿宋_GB2312" w:cs="Times New Roman"/>
                <w:sz w:val="21"/>
                <w:szCs w:val="22"/>
                <w:highlight w:val="none"/>
              </w:rPr>
            </w:pPr>
          </w:p>
        </w:tc>
        <w:tc>
          <w:tcPr>
            <w:tcW w:w="1379" w:type="pct"/>
            <w:shd w:val="clear" w:color="auto" w:fill="FFFFFF"/>
            <w:tcMar>
              <w:left w:w="108" w:type="dxa"/>
              <w:right w:w="108" w:type="dxa"/>
            </w:tcMar>
            <w:vAlign w:val="center"/>
          </w:tcPr>
          <w:p>
            <w:pPr>
              <w:widowControl/>
              <w:spacing w:before="100" w:beforeAutospacing="1" w:after="100" w:afterAutospacing="1"/>
              <w:ind w:left="0" w:leftChars="0" w:firstLine="0" w:firstLineChars="0"/>
              <w:jc w:val="center"/>
              <w:rPr>
                <w:rFonts w:ascii="Times New Roman" w:hAnsi="Times New Roman" w:eastAsia="仿宋_GB2312" w:cs="Times New Roman"/>
                <w:kern w:val="0"/>
                <w:sz w:val="24"/>
                <w:szCs w:val="24"/>
                <w:highlight w:val="none"/>
                <w:lang w:val="en-US" w:eastAsia="zh-CN" w:bidi="ar-SA"/>
              </w:rPr>
            </w:pPr>
            <w:r>
              <w:rPr>
                <w:rFonts w:ascii="Times New Roman" w:hAnsi="Times New Roman" w:eastAsia="仿宋_GB2312" w:cs="Times New Roman"/>
                <w:kern w:val="0"/>
                <w:sz w:val="24"/>
                <w:szCs w:val="24"/>
                <w:highlight w:val="none"/>
                <w:lang w:val="en-US" w:eastAsia="zh-CN" w:bidi="ar-SA"/>
              </w:rPr>
              <w:t>Al</w:t>
            </w:r>
          </w:p>
        </w:tc>
        <w:tc>
          <w:tcPr>
            <w:tcW w:w="1952" w:type="pct"/>
            <w:shd w:val="clear" w:color="auto" w:fill="FFFFFF"/>
            <w:tcMar>
              <w:left w:w="108" w:type="dxa"/>
              <w:right w:w="108" w:type="dxa"/>
            </w:tcMar>
            <w:vAlign w:val="center"/>
          </w:tcPr>
          <w:p>
            <w:pPr>
              <w:widowControl/>
              <w:spacing w:before="100" w:beforeAutospacing="1" w:after="100" w:afterAutospacing="1"/>
              <w:ind w:left="0" w:leftChars="0" w:firstLine="0" w:firstLineChars="0"/>
              <w:jc w:val="center"/>
              <w:rPr>
                <w:rFonts w:ascii="Times New Roman" w:hAnsi="Times New Roman" w:eastAsia="仿宋_GB2312" w:cs="Times New Roman"/>
                <w:kern w:val="0"/>
                <w:sz w:val="24"/>
                <w:szCs w:val="24"/>
                <w:highlight w:val="none"/>
                <w:lang w:val="en-US" w:eastAsia="zh-CN" w:bidi="ar-SA"/>
              </w:rPr>
            </w:pPr>
            <w:r>
              <w:rPr>
                <w:rFonts w:ascii="Times New Roman" w:hAnsi="Times New Roman" w:eastAsia="仿宋_GB2312" w:cs="Times New Roman"/>
                <w:kern w:val="0"/>
                <w:sz w:val="24"/>
                <w:szCs w:val="24"/>
                <w:highlight w:val="none"/>
                <w:lang w:val="en-US" w:eastAsia="zh-CN" w:bidi="ar-SA"/>
              </w:rPr>
              <w:t>0.005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0" w:hRule="atLeast"/>
          <w:jc w:val="center"/>
        </w:trPr>
        <w:tc>
          <w:tcPr>
            <w:tcW w:w="1667" w:type="pct"/>
            <w:vMerge w:val="continue"/>
            <w:shd w:val="clear" w:color="auto" w:fill="FFFFFF"/>
            <w:tcMar>
              <w:left w:w="108" w:type="dxa"/>
              <w:right w:w="108" w:type="dxa"/>
            </w:tcMar>
            <w:vAlign w:val="center"/>
          </w:tcPr>
          <w:p>
            <w:pPr>
              <w:spacing w:line="240" w:lineRule="auto"/>
              <w:ind w:firstLine="0" w:firstLineChars="0"/>
              <w:jc w:val="center"/>
              <w:rPr>
                <w:rFonts w:ascii="Times New Roman" w:hAnsi="Times New Roman" w:eastAsia="仿宋_GB2312" w:cs="Times New Roman"/>
                <w:sz w:val="21"/>
                <w:szCs w:val="22"/>
                <w:highlight w:val="none"/>
              </w:rPr>
            </w:pPr>
          </w:p>
        </w:tc>
        <w:tc>
          <w:tcPr>
            <w:tcW w:w="1379" w:type="pct"/>
            <w:shd w:val="clear" w:color="auto" w:fill="FFFFFF"/>
            <w:tcMar>
              <w:left w:w="108" w:type="dxa"/>
              <w:right w:w="108" w:type="dxa"/>
            </w:tcMar>
            <w:vAlign w:val="center"/>
          </w:tcPr>
          <w:p>
            <w:pPr>
              <w:widowControl/>
              <w:spacing w:before="100" w:beforeAutospacing="1" w:after="100" w:afterAutospacing="1"/>
              <w:ind w:left="0" w:leftChars="0" w:firstLine="0" w:firstLineChars="0"/>
              <w:jc w:val="center"/>
              <w:rPr>
                <w:rFonts w:ascii="Times New Roman" w:hAnsi="Times New Roman" w:eastAsia="仿宋_GB2312" w:cs="Times New Roman"/>
                <w:kern w:val="0"/>
                <w:sz w:val="24"/>
                <w:szCs w:val="24"/>
                <w:highlight w:val="none"/>
                <w:lang w:val="en-US" w:eastAsia="zh-CN" w:bidi="ar-SA"/>
              </w:rPr>
            </w:pPr>
            <w:r>
              <w:rPr>
                <w:rFonts w:ascii="Times New Roman" w:hAnsi="Times New Roman" w:eastAsia="仿宋_GB2312" w:cs="Times New Roman"/>
                <w:kern w:val="0"/>
                <w:sz w:val="24"/>
                <w:szCs w:val="24"/>
                <w:highlight w:val="none"/>
                <w:lang w:val="en-US" w:eastAsia="zh-CN" w:bidi="ar-SA"/>
              </w:rPr>
              <w:t>Pb</w:t>
            </w:r>
          </w:p>
        </w:tc>
        <w:tc>
          <w:tcPr>
            <w:tcW w:w="1952" w:type="pct"/>
            <w:shd w:val="clear" w:color="auto" w:fill="FFFFFF"/>
            <w:tcMar>
              <w:left w:w="108" w:type="dxa"/>
              <w:right w:w="108" w:type="dxa"/>
            </w:tcMar>
            <w:vAlign w:val="center"/>
          </w:tcPr>
          <w:p>
            <w:pPr>
              <w:widowControl/>
              <w:spacing w:before="100" w:beforeAutospacing="1" w:after="100" w:afterAutospacing="1"/>
              <w:ind w:left="0" w:leftChars="0" w:firstLine="0" w:firstLineChars="0"/>
              <w:jc w:val="center"/>
              <w:rPr>
                <w:rFonts w:ascii="Times New Roman" w:hAnsi="Times New Roman" w:eastAsia="仿宋_GB2312" w:cs="Times New Roman"/>
                <w:kern w:val="0"/>
                <w:sz w:val="24"/>
                <w:szCs w:val="24"/>
                <w:highlight w:val="none"/>
                <w:lang w:val="en-US" w:eastAsia="zh-CN" w:bidi="ar-SA"/>
              </w:rPr>
            </w:pPr>
            <w:r>
              <w:rPr>
                <w:rFonts w:ascii="Times New Roman" w:hAnsi="Times New Roman" w:eastAsia="仿宋_GB2312" w:cs="Times New Roman"/>
                <w:kern w:val="0"/>
                <w:sz w:val="24"/>
                <w:szCs w:val="24"/>
                <w:highlight w:val="none"/>
                <w:lang w:val="en-US" w:eastAsia="zh-CN" w:bidi="ar-SA"/>
              </w:rPr>
              <w:t>0.003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0" w:hRule="atLeast"/>
          <w:jc w:val="center"/>
        </w:trPr>
        <w:tc>
          <w:tcPr>
            <w:tcW w:w="1667" w:type="pct"/>
            <w:vMerge w:val="continue"/>
            <w:shd w:val="clear" w:color="auto" w:fill="FFFFFF"/>
            <w:tcMar>
              <w:left w:w="108" w:type="dxa"/>
              <w:right w:w="108" w:type="dxa"/>
            </w:tcMar>
            <w:vAlign w:val="center"/>
          </w:tcPr>
          <w:p>
            <w:pPr>
              <w:spacing w:line="240" w:lineRule="auto"/>
              <w:ind w:firstLine="0" w:firstLineChars="0"/>
              <w:jc w:val="center"/>
              <w:rPr>
                <w:rFonts w:ascii="Times New Roman" w:hAnsi="Times New Roman" w:eastAsia="仿宋_GB2312" w:cs="Times New Roman"/>
                <w:sz w:val="21"/>
                <w:szCs w:val="22"/>
                <w:highlight w:val="none"/>
              </w:rPr>
            </w:pPr>
          </w:p>
        </w:tc>
        <w:tc>
          <w:tcPr>
            <w:tcW w:w="1379" w:type="pct"/>
            <w:shd w:val="clear" w:color="auto" w:fill="FFFFFF"/>
            <w:tcMar>
              <w:left w:w="108" w:type="dxa"/>
              <w:right w:w="108" w:type="dxa"/>
            </w:tcMar>
            <w:vAlign w:val="center"/>
          </w:tcPr>
          <w:p>
            <w:pPr>
              <w:widowControl/>
              <w:spacing w:before="100" w:beforeAutospacing="1" w:after="100" w:afterAutospacing="1"/>
              <w:ind w:left="0" w:leftChars="0" w:firstLine="0" w:firstLineChars="0"/>
              <w:jc w:val="center"/>
              <w:rPr>
                <w:rFonts w:ascii="Times New Roman" w:hAnsi="Times New Roman" w:eastAsia="仿宋_GB2312" w:cs="Times New Roman"/>
                <w:kern w:val="0"/>
                <w:sz w:val="24"/>
                <w:szCs w:val="24"/>
                <w:highlight w:val="none"/>
                <w:lang w:val="en-US" w:eastAsia="zh-CN" w:bidi="ar-SA"/>
              </w:rPr>
            </w:pPr>
            <w:r>
              <w:rPr>
                <w:rFonts w:ascii="Times New Roman" w:hAnsi="Times New Roman" w:eastAsia="仿宋_GB2312" w:cs="Times New Roman"/>
                <w:kern w:val="0"/>
                <w:sz w:val="24"/>
                <w:szCs w:val="24"/>
                <w:highlight w:val="none"/>
                <w:lang w:val="en-US" w:eastAsia="zh-CN" w:bidi="ar-SA"/>
              </w:rPr>
              <w:t>Mn</w:t>
            </w:r>
          </w:p>
        </w:tc>
        <w:tc>
          <w:tcPr>
            <w:tcW w:w="1952" w:type="pct"/>
            <w:shd w:val="clear" w:color="auto" w:fill="FFFFFF"/>
            <w:tcMar>
              <w:left w:w="108" w:type="dxa"/>
              <w:right w:w="108" w:type="dxa"/>
            </w:tcMar>
            <w:vAlign w:val="center"/>
          </w:tcPr>
          <w:p>
            <w:pPr>
              <w:widowControl/>
              <w:tabs>
                <w:tab w:val="center" w:pos="1602"/>
              </w:tabs>
              <w:spacing w:before="100" w:beforeAutospacing="1" w:after="100" w:afterAutospacing="1"/>
              <w:ind w:left="0" w:leftChars="0" w:firstLine="0" w:firstLineChars="0"/>
              <w:jc w:val="center"/>
              <w:rPr>
                <w:rFonts w:ascii="Times New Roman" w:hAnsi="Times New Roman" w:eastAsia="仿宋_GB2312" w:cs="Times New Roman"/>
                <w:kern w:val="0"/>
                <w:sz w:val="24"/>
                <w:szCs w:val="24"/>
                <w:highlight w:val="none"/>
                <w:lang w:val="en-US" w:eastAsia="zh-CN" w:bidi="ar-SA"/>
              </w:rPr>
            </w:pPr>
            <w:r>
              <w:rPr>
                <w:rFonts w:ascii="Times New Roman" w:hAnsi="Times New Roman" w:eastAsia="仿宋_GB2312" w:cs="Times New Roman"/>
                <w:kern w:val="0"/>
                <w:sz w:val="24"/>
                <w:szCs w:val="24"/>
                <w:highlight w:val="none"/>
                <w:lang w:val="en-US" w:eastAsia="zh-CN" w:bidi="ar-SA"/>
              </w:rPr>
              <w:t>0.005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0" w:hRule="atLeast"/>
          <w:jc w:val="center"/>
        </w:trPr>
        <w:tc>
          <w:tcPr>
            <w:tcW w:w="1667" w:type="pct"/>
            <w:vMerge w:val="continue"/>
            <w:shd w:val="clear" w:color="auto" w:fill="FFFFFF"/>
            <w:tcMar>
              <w:left w:w="108" w:type="dxa"/>
              <w:right w:w="108" w:type="dxa"/>
            </w:tcMar>
            <w:vAlign w:val="center"/>
          </w:tcPr>
          <w:p>
            <w:pPr>
              <w:spacing w:line="240" w:lineRule="auto"/>
              <w:ind w:firstLine="0" w:firstLineChars="0"/>
              <w:jc w:val="center"/>
              <w:rPr>
                <w:rFonts w:ascii="Times New Roman" w:hAnsi="Times New Roman" w:eastAsia="仿宋_GB2312" w:cs="Times New Roman"/>
                <w:sz w:val="21"/>
                <w:szCs w:val="22"/>
                <w:highlight w:val="none"/>
              </w:rPr>
            </w:pPr>
          </w:p>
        </w:tc>
        <w:tc>
          <w:tcPr>
            <w:tcW w:w="1379" w:type="pct"/>
            <w:shd w:val="clear" w:color="auto" w:fill="FFFFFF"/>
            <w:tcMar>
              <w:left w:w="108" w:type="dxa"/>
              <w:right w:w="108" w:type="dxa"/>
            </w:tcMar>
            <w:vAlign w:val="center"/>
          </w:tcPr>
          <w:p>
            <w:pPr>
              <w:widowControl/>
              <w:spacing w:before="100" w:beforeAutospacing="1" w:after="100" w:afterAutospacing="1"/>
              <w:ind w:left="0" w:leftChars="0" w:firstLine="0" w:firstLineChars="0"/>
              <w:jc w:val="center"/>
              <w:rPr>
                <w:rFonts w:ascii="Times New Roman" w:hAnsi="Times New Roman" w:eastAsia="仿宋_GB2312" w:cs="Times New Roman"/>
                <w:kern w:val="0"/>
                <w:sz w:val="24"/>
                <w:szCs w:val="24"/>
                <w:highlight w:val="none"/>
                <w:lang w:val="en-US" w:eastAsia="zh-CN" w:bidi="ar-SA"/>
              </w:rPr>
            </w:pPr>
            <w:r>
              <w:rPr>
                <w:rFonts w:ascii="Times New Roman" w:hAnsi="Times New Roman" w:eastAsia="仿宋_GB2312" w:cs="Times New Roman"/>
                <w:kern w:val="0"/>
                <w:sz w:val="24"/>
                <w:szCs w:val="24"/>
                <w:highlight w:val="none"/>
                <w:lang w:val="en-US" w:eastAsia="zh-CN" w:bidi="ar-SA"/>
              </w:rPr>
              <w:t>Cr</w:t>
            </w:r>
          </w:p>
        </w:tc>
        <w:tc>
          <w:tcPr>
            <w:tcW w:w="1952" w:type="pct"/>
            <w:shd w:val="clear" w:color="auto" w:fill="FFFFFF"/>
            <w:tcMar>
              <w:left w:w="108" w:type="dxa"/>
              <w:right w:w="108" w:type="dxa"/>
            </w:tcMar>
            <w:vAlign w:val="center"/>
          </w:tcPr>
          <w:p>
            <w:pPr>
              <w:widowControl/>
              <w:spacing w:before="100" w:beforeAutospacing="1" w:after="100" w:afterAutospacing="1"/>
              <w:ind w:left="0" w:leftChars="0" w:firstLine="0" w:firstLineChars="0"/>
              <w:jc w:val="center"/>
              <w:rPr>
                <w:rFonts w:ascii="Times New Roman" w:hAnsi="Times New Roman" w:eastAsia="仿宋_GB2312" w:cs="Times New Roman"/>
                <w:kern w:val="0"/>
                <w:sz w:val="24"/>
                <w:szCs w:val="24"/>
                <w:highlight w:val="none"/>
                <w:lang w:val="en-US" w:eastAsia="zh-CN" w:bidi="ar-SA"/>
              </w:rPr>
            </w:pPr>
            <w:r>
              <w:rPr>
                <w:rFonts w:ascii="Times New Roman" w:hAnsi="Times New Roman" w:eastAsia="仿宋_GB2312" w:cs="Times New Roman"/>
                <w:kern w:val="0"/>
                <w:sz w:val="24"/>
                <w:szCs w:val="24"/>
                <w:highlight w:val="none"/>
                <w:lang w:val="en-US" w:eastAsia="zh-CN" w:bidi="ar-SA"/>
              </w:rPr>
              <w:t>0.005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0" w:hRule="atLeast"/>
          <w:jc w:val="center"/>
        </w:trPr>
        <w:tc>
          <w:tcPr>
            <w:tcW w:w="1667" w:type="pct"/>
            <w:vMerge w:val="continue"/>
            <w:shd w:val="clear" w:color="auto" w:fill="FFFFFF"/>
            <w:tcMar>
              <w:left w:w="108" w:type="dxa"/>
              <w:right w:w="108" w:type="dxa"/>
            </w:tcMar>
            <w:vAlign w:val="center"/>
          </w:tcPr>
          <w:p>
            <w:pPr>
              <w:spacing w:line="240" w:lineRule="auto"/>
              <w:ind w:firstLine="0" w:firstLineChars="0"/>
              <w:jc w:val="center"/>
              <w:rPr>
                <w:rFonts w:ascii="Times New Roman" w:hAnsi="Times New Roman" w:eastAsia="仿宋_GB2312" w:cs="Times New Roman"/>
                <w:sz w:val="21"/>
                <w:szCs w:val="22"/>
                <w:highlight w:val="none"/>
              </w:rPr>
            </w:pPr>
          </w:p>
        </w:tc>
        <w:tc>
          <w:tcPr>
            <w:tcW w:w="1379" w:type="pct"/>
            <w:shd w:val="clear" w:color="auto" w:fill="FFFFFF"/>
            <w:tcMar>
              <w:left w:w="108" w:type="dxa"/>
              <w:right w:w="108" w:type="dxa"/>
            </w:tcMar>
            <w:vAlign w:val="center"/>
          </w:tcPr>
          <w:p>
            <w:pPr>
              <w:widowControl/>
              <w:spacing w:before="100" w:beforeAutospacing="1" w:after="100" w:afterAutospacing="1"/>
              <w:ind w:left="0" w:leftChars="0" w:firstLine="0" w:firstLineChars="0"/>
              <w:jc w:val="center"/>
              <w:rPr>
                <w:rFonts w:ascii="Times New Roman" w:hAnsi="Times New Roman" w:eastAsia="仿宋_GB2312" w:cs="Times New Roman"/>
                <w:kern w:val="0"/>
                <w:sz w:val="24"/>
                <w:szCs w:val="24"/>
                <w:highlight w:val="none"/>
                <w:lang w:val="en-US" w:eastAsia="zh-CN" w:bidi="ar-SA"/>
              </w:rPr>
            </w:pPr>
            <w:r>
              <w:rPr>
                <w:rFonts w:ascii="Times New Roman" w:hAnsi="Times New Roman" w:eastAsia="仿宋_GB2312" w:cs="Times New Roman"/>
                <w:kern w:val="0"/>
                <w:sz w:val="24"/>
                <w:szCs w:val="24"/>
                <w:highlight w:val="none"/>
                <w:lang w:val="en-US" w:eastAsia="zh-CN" w:bidi="ar-SA"/>
              </w:rPr>
              <w:t>Mg</w:t>
            </w:r>
          </w:p>
        </w:tc>
        <w:tc>
          <w:tcPr>
            <w:tcW w:w="1952" w:type="pct"/>
            <w:shd w:val="clear" w:color="auto" w:fill="FFFFFF"/>
            <w:tcMar>
              <w:left w:w="108" w:type="dxa"/>
              <w:right w:w="108" w:type="dxa"/>
            </w:tcMar>
            <w:vAlign w:val="center"/>
          </w:tcPr>
          <w:p>
            <w:pPr>
              <w:widowControl/>
              <w:spacing w:before="100" w:beforeAutospacing="1" w:after="100" w:afterAutospacing="1"/>
              <w:ind w:left="0" w:leftChars="0" w:firstLine="0" w:firstLineChars="0"/>
              <w:jc w:val="center"/>
              <w:rPr>
                <w:rFonts w:ascii="Times New Roman" w:hAnsi="Times New Roman" w:eastAsia="仿宋_GB2312" w:cs="Times New Roman"/>
                <w:kern w:val="0"/>
                <w:sz w:val="24"/>
                <w:szCs w:val="24"/>
                <w:highlight w:val="none"/>
                <w:lang w:val="en-US" w:eastAsia="zh-CN" w:bidi="ar-SA"/>
              </w:rPr>
            </w:pPr>
            <w:r>
              <w:rPr>
                <w:rFonts w:ascii="Times New Roman" w:hAnsi="Times New Roman" w:eastAsia="仿宋_GB2312" w:cs="Times New Roman"/>
                <w:kern w:val="0"/>
                <w:sz w:val="24"/>
                <w:szCs w:val="24"/>
                <w:highlight w:val="none"/>
                <w:lang w:val="en-US" w:eastAsia="zh-CN" w:bidi="ar-SA"/>
              </w:rPr>
              <w:t>0.005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0" w:hRule="atLeast"/>
          <w:jc w:val="center"/>
        </w:trPr>
        <w:tc>
          <w:tcPr>
            <w:tcW w:w="1667" w:type="pct"/>
            <w:vMerge w:val="continue"/>
            <w:shd w:val="clear" w:color="auto" w:fill="FFFFFF"/>
            <w:tcMar>
              <w:left w:w="108" w:type="dxa"/>
              <w:right w:w="108" w:type="dxa"/>
            </w:tcMar>
            <w:vAlign w:val="center"/>
          </w:tcPr>
          <w:p>
            <w:pPr>
              <w:spacing w:line="240" w:lineRule="auto"/>
              <w:ind w:firstLine="0" w:firstLineChars="0"/>
              <w:jc w:val="center"/>
              <w:rPr>
                <w:rFonts w:ascii="Times New Roman" w:hAnsi="Times New Roman" w:eastAsia="仿宋_GB2312" w:cs="Times New Roman"/>
                <w:sz w:val="21"/>
                <w:szCs w:val="22"/>
                <w:highlight w:val="none"/>
              </w:rPr>
            </w:pPr>
          </w:p>
        </w:tc>
        <w:tc>
          <w:tcPr>
            <w:tcW w:w="1379" w:type="pct"/>
            <w:shd w:val="clear" w:color="auto" w:fill="FFFFFF"/>
            <w:tcMar>
              <w:left w:w="108" w:type="dxa"/>
              <w:right w:w="108" w:type="dxa"/>
            </w:tcMar>
            <w:vAlign w:val="center"/>
          </w:tcPr>
          <w:p>
            <w:pPr>
              <w:widowControl/>
              <w:spacing w:before="100" w:beforeAutospacing="1" w:after="100" w:afterAutospacing="1"/>
              <w:ind w:left="0" w:leftChars="0" w:firstLine="0" w:firstLineChars="0"/>
              <w:jc w:val="center"/>
              <w:rPr>
                <w:rFonts w:ascii="Times New Roman" w:hAnsi="Times New Roman" w:eastAsia="仿宋_GB2312" w:cs="Times New Roman"/>
                <w:kern w:val="0"/>
                <w:sz w:val="24"/>
                <w:szCs w:val="24"/>
                <w:highlight w:val="none"/>
                <w:lang w:val="en-US" w:eastAsia="zh-CN" w:bidi="ar-SA"/>
              </w:rPr>
            </w:pPr>
            <w:r>
              <w:rPr>
                <w:rFonts w:ascii="Times New Roman" w:hAnsi="Times New Roman" w:eastAsia="仿宋_GB2312" w:cs="Times New Roman"/>
                <w:kern w:val="0"/>
                <w:sz w:val="24"/>
                <w:szCs w:val="24"/>
                <w:highlight w:val="none"/>
                <w:lang w:val="en-US" w:eastAsia="zh-CN" w:bidi="ar-SA"/>
              </w:rPr>
              <w:t>Sn</w:t>
            </w:r>
          </w:p>
        </w:tc>
        <w:tc>
          <w:tcPr>
            <w:tcW w:w="1952" w:type="pct"/>
            <w:shd w:val="clear" w:color="auto" w:fill="FFFFFF"/>
            <w:tcMar>
              <w:left w:w="108" w:type="dxa"/>
              <w:right w:w="108" w:type="dxa"/>
            </w:tcMar>
            <w:vAlign w:val="center"/>
          </w:tcPr>
          <w:p>
            <w:pPr>
              <w:widowControl/>
              <w:spacing w:before="100" w:beforeAutospacing="1" w:after="100" w:afterAutospacing="1"/>
              <w:ind w:left="0" w:leftChars="0" w:firstLine="0" w:firstLineChars="0"/>
              <w:jc w:val="center"/>
              <w:rPr>
                <w:rFonts w:ascii="Times New Roman" w:hAnsi="Times New Roman" w:eastAsia="仿宋_GB2312" w:cs="Times New Roman"/>
                <w:kern w:val="0"/>
                <w:sz w:val="24"/>
                <w:szCs w:val="24"/>
                <w:highlight w:val="none"/>
                <w:lang w:val="en-US" w:eastAsia="zh-CN" w:bidi="ar-SA"/>
              </w:rPr>
            </w:pPr>
            <w:r>
              <w:rPr>
                <w:rFonts w:ascii="Times New Roman" w:hAnsi="Times New Roman" w:eastAsia="仿宋_GB2312" w:cs="Times New Roman"/>
                <w:kern w:val="0"/>
                <w:sz w:val="24"/>
                <w:szCs w:val="24"/>
                <w:highlight w:val="none"/>
                <w:lang w:val="en-US" w:eastAsia="zh-CN" w:bidi="ar-SA"/>
              </w:rPr>
              <w:t>0.005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0" w:hRule="atLeast"/>
          <w:jc w:val="center"/>
        </w:trPr>
        <w:tc>
          <w:tcPr>
            <w:tcW w:w="1667" w:type="pct"/>
            <w:vMerge w:val="continue"/>
            <w:shd w:val="clear" w:color="auto" w:fill="FFFFFF"/>
            <w:tcMar>
              <w:left w:w="108" w:type="dxa"/>
              <w:right w:w="108" w:type="dxa"/>
            </w:tcMar>
            <w:vAlign w:val="center"/>
          </w:tcPr>
          <w:p>
            <w:pPr>
              <w:spacing w:line="240" w:lineRule="auto"/>
              <w:ind w:firstLine="0" w:firstLineChars="0"/>
              <w:jc w:val="center"/>
              <w:rPr>
                <w:rFonts w:ascii="Times New Roman" w:hAnsi="Times New Roman" w:eastAsia="仿宋_GB2312" w:cs="Times New Roman"/>
                <w:sz w:val="21"/>
                <w:szCs w:val="22"/>
                <w:highlight w:val="none"/>
              </w:rPr>
            </w:pPr>
          </w:p>
        </w:tc>
        <w:tc>
          <w:tcPr>
            <w:tcW w:w="1379" w:type="pct"/>
            <w:shd w:val="clear" w:color="auto" w:fill="FFFFFF"/>
            <w:tcMar>
              <w:left w:w="108" w:type="dxa"/>
              <w:right w:w="108" w:type="dxa"/>
            </w:tcMar>
            <w:vAlign w:val="center"/>
          </w:tcPr>
          <w:p>
            <w:pPr>
              <w:widowControl/>
              <w:spacing w:before="100" w:beforeAutospacing="1" w:after="100" w:afterAutospacing="1"/>
              <w:ind w:left="0" w:leftChars="0" w:firstLine="0" w:firstLineChars="0"/>
              <w:jc w:val="center"/>
              <w:rPr>
                <w:rFonts w:ascii="Times New Roman" w:hAnsi="Times New Roman" w:eastAsia="仿宋_GB2312" w:cs="Times New Roman"/>
                <w:kern w:val="0"/>
                <w:sz w:val="24"/>
                <w:szCs w:val="24"/>
                <w:highlight w:val="none"/>
                <w:lang w:val="en-US" w:eastAsia="zh-CN" w:bidi="ar-SA"/>
              </w:rPr>
            </w:pPr>
            <w:r>
              <w:rPr>
                <w:rFonts w:ascii="Times New Roman" w:hAnsi="Times New Roman" w:eastAsia="仿宋_GB2312" w:cs="Times New Roman"/>
                <w:kern w:val="0"/>
                <w:sz w:val="24"/>
                <w:szCs w:val="24"/>
                <w:highlight w:val="none"/>
                <w:lang w:val="en-US" w:eastAsia="zh-CN" w:bidi="ar-SA"/>
              </w:rPr>
              <w:t>Si</w:t>
            </w:r>
          </w:p>
        </w:tc>
        <w:tc>
          <w:tcPr>
            <w:tcW w:w="1952" w:type="pct"/>
            <w:shd w:val="clear" w:color="auto" w:fill="FFFFFF"/>
            <w:tcMar>
              <w:left w:w="108" w:type="dxa"/>
              <w:right w:w="108" w:type="dxa"/>
            </w:tcMar>
            <w:vAlign w:val="center"/>
          </w:tcPr>
          <w:p>
            <w:pPr>
              <w:widowControl/>
              <w:spacing w:before="100" w:beforeAutospacing="1" w:after="100" w:afterAutospacing="1"/>
              <w:ind w:left="0" w:leftChars="0" w:firstLine="0" w:firstLineChars="0"/>
              <w:jc w:val="center"/>
              <w:rPr>
                <w:rFonts w:ascii="Times New Roman" w:hAnsi="Times New Roman" w:eastAsia="仿宋_GB2312" w:cs="Times New Roman"/>
                <w:kern w:val="0"/>
                <w:sz w:val="24"/>
                <w:szCs w:val="24"/>
                <w:highlight w:val="none"/>
                <w:lang w:val="en-US" w:eastAsia="zh-CN" w:bidi="ar-SA"/>
              </w:rPr>
            </w:pPr>
            <w:r>
              <w:rPr>
                <w:rFonts w:ascii="Times New Roman" w:hAnsi="Times New Roman" w:eastAsia="仿宋_GB2312" w:cs="Times New Roman"/>
                <w:kern w:val="0"/>
                <w:sz w:val="24"/>
                <w:szCs w:val="24"/>
                <w:highlight w:val="none"/>
                <w:lang w:val="en-US" w:eastAsia="zh-CN" w:bidi="ar-SA"/>
              </w:rPr>
              <w:t>0.005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667" w:type="pct"/>
            <w:vMerge w:val="continue"/>
            <w:shd w:val="clear" w:color="auto" w:fill="FFFFFF"/>
            <w:tcMar>
              <w:left w:w="108" w:type="dxa"/>
              <w:right w:w="108" w:type="dxa"/>
            </w:tcMar>
            <w:vAlign w:val="center"/>
          </w:tcPr>
          <w:p>
            <w:pPr>
              <w:spacing w:line="240" w:lineRule="auto"/>
              <w:ind w:firstLine="0" w:firstLineChars="0"/>
              <w:jc w:val="center"/>
              <w:rPr>
                <w:rFonts w:ascii="Times New Roman" w:hAnsi="Times New Roman" w:eastAsia="仿宋_GB2312" w:cs="Times New Roman"/>
                <w:sz w:val="21"/>
                <w:szCs w:val="22"/>
                <w:highlight w:val="none"/>
              </w:rPr>
            </w:pPr>
          </w:p>
        </w:tc>
        <w:tc>
          <w:tcPr>
            <w:tcW w:w="1379" w:type="pct"/>
            <w:shd w:val="clear" w:color="auto" w:fill="FFFFFF"/>
            <w:tcMar>
              <w:left w:w="108" w:type="dxa"/>
              <w:right w:w="108" w:type="dxa"/>
            </w:tcMar>
            <w:vAlign w:val="center"/>
          </w:tcPr>
          <w:p>
            <w:pPr>
              <w:widowControl/>
              <w:spacing w:before="100" w:beforeAutospacing="1" w:after="100" w:afterAutospacing="1"/>
              <w:ind w:left="0" w:leftChars="0" w:firstLine="0" w:firstLineChars="0"/>
              <w:jc w:val="center"/>
              <w:rPr>
                <w:rFonts w:ascii="Times New Roman" w:hAnsi="Times New Roman" w:eastAsia="仿宋_GB2312" w:cs="Times New Roman"/>
                <w:kern w:val="0"/>
                <w:sz w:val="24"/>
                <w:szCs w:val="24"/>
                <w:highlight w:val="none"/>
                <w:lang w:val="en-US" w:eastAsia="zh-CN" w:bidi="ar-SA"/>
              </w:rPr>
            </w:pPr>
            <w:r>
              <w:rPr>
                <w:rFonts w:ascii="Times New Roman" w:hAnsi="Times New Roman" w:eastAsia="仿宋_GB2312" w:cs="Times New Roman"/>
                <w:kern w:val="0"/>
                <w:sz w:val="24"/>
                <w:szCs w:val="24"/>
                <w:highlight w:val="none"/>
                <w:lang w:val="en-US" w:eastAsia="zh-CN" w:bidi="ar-SA"/>
              </w:rPr>
              <w:t>Zn</w:t>
            </w:r>
          </w:p>
        </w:tc>
        <w:tc>
          <w:tcPr>
            <w:tcW w:w="1952" w:type="pct"/>
            <w:shd w:val="clear" w:color="auto" w:fill="FFFFFF"/>
            <w:tcMar>
              <w:left w:w="108" w:type="dxa"/>
              <w:right w:w="108" w:type="dxa"/>
            </w:tcMar>
            <w:vAlign w:val="center"/>
          </w:tcPr>
          <w:p>
            <w:pPr>
              <w:widowControl/>
              <w:spacing w:before="100" w:beforeAutospacing="1" w:after="100" w:afterAutospacing="1"/>
              <w:ind w:left="0" w:leftChars="0" w:firstLine="0" w:firstLineChars="0"/>
              <w:jc w:val="center"/>
              <w:rPr>
                <w:rFonts w:ascii="Times New Roman" w:hAnsi="Times New Roman" w:eastAsia="仿宋_GB2312" w:cs="Times New Roman"/>
                <w:kern w:val="0"/>
                <w:sz w:val="24"/>
                <w:szCs w:val="24"/>
                <w:highlight w:val="none"/>
                <w:lang w:val="en-US" w:eastAsia="zh-CN" w:bidi="ar-SA"/>
              </w:rPr>
            </w:pPr>
            <w:r>
              <w:rPr>
                <w:rFonts w:ascii="Times New Roman" w:hAnsi="Times New Roman" w:eastAsia="仿宋_GB2312" w:cs="Times New Roman"/>
                <w:kern w:val="0"/>
                <w:sz w:val="24"/>
                <w:szCs w:val="24"/>
                <w:highlight w:val="none"/>
                <w:lang w:val="en-US" w:eastAsia="zh-CN" w:bidi="ar-SA"/>
              </w:rPr>
              <w:t>0.005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0" w:hRule="atLeast"/>
          <w:jc w:val="center"/>
        </w:trPr>
        <w:tc>
          <w:tcPr>
            <w:tcW w:w="1667" w:type="pct"/>
            <w:vMerge w:val="continue"/>
            <w:shd w:val="clear" w:color="auto" w:fill="FFFFFF"/>
            <w:tcMar>
              <w:left w:w="108" w:type="dxa"/>
              <w:right w:w="108" w:type="dxa"/>
            </w:tcMar>
            <w:vAlign w:val="center"/>
          </w:tcPr>
          <w:p>
            <w:pPr>
              <w:spacing w:line="240" w:lineRule="auto"/>
              <w:ind w:firstLine="0" w:firstLineChars="0"/>
              <w:jc w:val="center"/>
              <w:rPr>
                <w:rFonts w:ascii="Times New Roman" w:hAnsi="Times New Roman" w:eastAsia="仿宋_GB2312" w:cs="Times New Roman"/>
                <w:sz w:val="21"/>
                <w:szCs w:val="22"/>
                <w:highlight w:val="none"/>
              </w:rPr>
            </w:pPr>
          </w:p>
        </w:tc>
        <w:tc>
          <w:tcPr>
            <w:tcW w:w="1379" w:type="pct"/>
            <w:shd w:val="clear" w:color="auto" w:fill="FFFFFF"/>
            <w:tcMar>
              <w:left w:w="108" w:type="dxa"/>
              <w:right w:w="108" w:type="dxa"/>
            </w:tcMar>
            <w:vAlign w:val="center"/>
          </w:tcPr>
          <w:p>
            <w:pPr>
              <w:widowControl/>
              <w:spacing w:before="100" w:beforeAutospacing="1" w:after="100" w:afterAutospacing="1"/>
              <w:ind w:left="0" w:leftChars="0" w:firstLine="0" w:firstLineChars="0"/>
              <w:jc w:val="center"/>
              <w:rPr>
                <w:rFonts w:ascii="Times New Roman" w:hAnsi="Times New Roman" w:eastAsia="仿宋_GB2312" w:cs="Times New Roman"/>
                <w:kern w:val="0"/>
                <w:sz w:val="24"/>
                <w:szCs w:val="24"/>
                <w:highlight w:val="none"/>
                <w:lang w:val="en-US" w:eastAsia="zh-CN" w:bidi="ar-SA"/>
              </w:rPr>
            </w:pPr>
            <w:r>
              <w:rPr>
                <w:rFonts w:ascii="Times New Roman" w:hAnsi="Times New Roman" w:eastAsia="仿宋_GB2312" w:cs="Times New Roman"/>
                <w:kern w:val="0"/>
                <w:sz w:val="24"/>
                <w:szCs w:val="24"/>
                <w:highlight w:val="none"/>
                <w:lang w:val="en-US" w:eastAsia="zh-CN" w:bidi="ar-SA"/>
              </w:rPr>
              <w:t>Bi</w:t>
            </w:r>
          </w:p>
        </w:tc>
        <w:tc>
          <w:tcPr>
            <w:tcW w:w="1952" w:type="pct"/>
            <w:shd w:val="clear" w:color="auto" w:fill="FFFFFF"/>
            <w:tcMar>
              <w:left w:w="108" w:type="dxa"/>
              <w:right w:w="108" w:type="dxa"/>
            </w:tcMar>
            <w:vAlign w:val="center"/>
          </w:tcPr>
          <w:p>
            <w:pPr>
              <w:widowControl/>
              <w:spacing w:before="100" w:beforeAutospacing="1" w:after="100" w:afterAutospacing="1"/>
              <w:ind w:left="0" w:leftChars="0" w:firstLine="0" w:firstLineChars="0"/>
              <w:jc w:val="center"/>
              <w:rPr>
                <w:rFonts w:ascii="Times New Roman" w:hAnsi="Times New Roman" w:eastAsia="仿宋_GB2312" w:cs="Times New Roman"/>
                <w:kern w:val="0"/>
                <w:sz w:val="24"/>
                <w:szCs w:val="24"/>
                <w:highlight w:val="none"/>
                <w:lang w:val="en-US" w:eastAsia="zh-CN" w:bidi="ar-SA"/>
              </w:rPr>
            </w:pPr>
            <w:r>
              <w:rPr>
                <w:rFonts w:ascii="Times New Roman" w:hAnsi="Times New Roman" w:eastAsia="仿宋_GB2312" w:cs="Times New Roman"/>
                <w:kern w:val="0"/>
                <w:sz w:val="24"/>
                <w:szCs w:val="24"/>
                <w:highlight w:val="none"/>
                <w:lang w:val="en-US" w:eastAsia="zh-CN" w:bidi="ar-SA"/>
              </w:rPr>
              <w:t>0.005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0" w:hRule="atLeast"/>
          <w:jc w:val="center"/>
        </w:trPr>
        <w:tc>
          <w:tcPr>
            <w:tcW w:w="3047" w:type="pct"/>
            <w:gridSpan w:val="2"/>
            <w:shd w:val="clear" w:color="auto" w:fill="FFFFFF"/>
            <w:tcMar>
              <w:left w:w="108" w:type="dxa"/>
              <w:right w:w="108" w:type="dxa"/>
            </w:tcMar>
            <w:vAlign w:val="center"/>
          </w:tcPr>
          <w:p>
            <w:pPr>
              <w:widowControl/>
              <w:spacing w:before="100" w:beforeAutospacing="1" w:after="100" w:afterAutospacing="1"/>
              <w:jc w:val="center"/>
              <w:rPr>
                <w:rFonts w:hint="default" w:ascii="Times New Roman" w:hAnsi="Times New Roman" w:eastAsia="仿宋_GB2312" w:cs="Times New Roman"/>
                <w:kern w:val="0"/>
                <w:sz w:val="24"/>
                <w:szCs w:val="24"/>
                <w:highlight w:val="none"/>
                <w:vertAlign w:val="superscript"/>
                <w:lang w:val="en-US" w:eastAsia="zh-CN" w:bidi="ar-SA"/>
              </w:rPr>
            </w:pPr>
            <w:r>
              <w:rPr>
                <w:rFonts w:ascii="Times New Roman" w:hAnsi="Times New Roman" w:eastAsia="仿宋_GB2312" w:cs="Times New Roman"/>
                <w:kern w:val="0"/>
                <w:sz w:val="24"/>
                <w:szCs w:val="24"/>
                <w:highlight w:val="none"/>
                <w:lang w:val="en-US" w:eastAsia="zh-CN" w:bidi="ar-SA"/>
              </w:rPr>
              <w:t>杂质元素</w:t>
            </w:r>
            <w:r>
              <w:rPr>
                <w:rFonts w:hint="default" w:ascii="Times New Roman" w:hAnsi="Times New Roman" w:eastAsia="仿宋_GB2312" w:cs="Times New Roman"/>
                <w:kern w:val="0"/>
                <w:sz w:val="24"/>
                <w:szCs w:val="24"/>
                <w:highlight w:val="none"/>
                <w:lang w:val="en-US" w:eastAsia="zh-CN" w:bidi="ar-SA"/>
              </w:rPr>
              <w:t>的总</w:t>
            </w:r>
            <w:r>
              <w:rPr>
                <w:rFonts w:ascii="Times New Roman" w:hAnsi="Times New Roman" w:eastAsia="仿宋_GB2312" w:cs="Times New Roman"/>
                <w:kern w:val="0"/>
                <w:sz w:val="24"/>
                <w:szCs w:val="24"/>
                <w:highlight w:val="none"/>
                <w:lang w:val="en-US" w:eastAsia="zh-CN" w:bidi="ar-SA"/>
              </w:rPr>
              <w:t>量</w:t>
            </w:r>
            <w:r>
              <w:rPr>
                <w:rFonts w:hint="default" w:ascii="Times New Roman" w:hAnsi="Times New Roman" w:cs="Times New Roman"/>
                <w:kern w:val="0"/>
                <w:sz w:val="24"/>
                <w:szCs w:val="24"/>
                <w:highlight w:val="none"/>
                <w:lang w:val="en-US" w:eastAsia="zh-CN" w:bidi="ar-SA"/>
              </w:rPr>
              <w:t xml:space="preserve">（质量分数） </w:t>
            </w:r>
            <w:r>
              <w:rPr>
                <w:rFonts w:ascii="Times New Roman" w:hAnsi="Times New Roman" w:eastAsia="仿宋_GB2312" w:cs="Times New Roman"/>
                <w:kern w:val="0"/>
                <w:sz w:val="24"/>
                <w:szCs w:val="24"/>
                <w:highlight w:val="none"/>
                <w:lang w:val="en-US" w:eastAsia="zh-CN" w:bidi="ar-SA"/>
              </w:rPr>
              <w:t>≤</w:t>
            </w:r>
          </w:p>
        </w:tc>
        <w:tc>
          <w:tcPr>
            <w:tcW w:w="1952" w:type="pct"/>
            <w:shd w:val="clear" w:color="auto" w:fill="FFFFFF"/>
            <w:tcMar>
              <w:left w:w="108" w:type="dxa"/>
              <w:right w:w="108" w:type="dxa"/>
            </w:tcMar>
            <w:vAlign w:val="center"/>
          </w:tcPr>
          <w:p>
            <w:pPr>
              <w:widowControl/>
              <w:spacing w:before="100" w:beforeAutospacing="1" w:after="100" w:afterAutospacing="1"/>
              <w:ind w:left="0" w:leftChars="0" w:firstLine="0" w:firstLineChars="0"/>
              <w:jc w:val="center"/>
              <w:rPr>
                <w:rFonts w:hint="default" w:ascii="Times New Roman" w:hAnsi="Times New Roman" w:eastAsia="仿宋_GB2312" w:cs="Times New Roman"/>
                <w:kern w:val="0"/>
                <w:sz w:val="24"/>
                <w:szCs w:val="24"/>
                <w:highlight w:val="none"/>
                <w:lang w:val="en-US" w:eastAsia="zh-CN" w:bidi="ar-SA"/>
              </w:rPr>
            </w:pPr>
            <w:r>
              <w:rPr>
                <w:rFonts w:ascii="Times New Roman" w:hAnsi="Times New Roman" w:eastAsia="仿宋_GB2312" w:cs="Times New Roman"/>
                <w:kern w:val="0"/>
                <w:sz w:val="24"/>
                <w:szCs w:val="24"/>
                <w:highlight w:val="none"/>
                <w:lang w:val="en-US" w:eastAsia="zh-CN" w:bidi="ar-SA"/>
              </w:rPr>
              <w:t>0.05</w:t>
            </w:r>
          </w:p>
        </w:tc>
      </w:tr>
    </w:tbl>
    <w:p>
      <w:pPr>
        <w:widowControl/>
        <w:spacing w:line="560" w:lineRule="exact"/>
        <w:ind w:firstLine="640" w:firstLineChars="200"/>
        <w:jc w:val="both"/>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color w:val="000000"/>
          <w:kern w:val="0"/>
          <w:sz w:val="32"/>
          <w:szCs w:val="32"/>
          <w:highlight w:val="none"/>
          <w:lang w:val="en-US" w:eastAsia="zh-CN"/>
        </w:rPr>
        <w:t>4.1.2</w:t>
      </w:r>
      <w:r>
        <w:rPr>
          <w:rFonts w:hint="default" w:ascii="Times New Roman" w:hAnsi="Times New Roman" w:cs="Times New Roman"/>
          <w:color w:val="000000"/>
          <w:kern w:val="0"/>
          <w:sz w:val="32"/>
          <w:szCs w:val="32"/>
          <w:highlight w:val="none"/>
          <w:lang w:val="en-US" w:eastAsia="zh-CN"/>
        </w:rPr>
        <w:t xml:space="preserve"> </w:t>
      </w:r>
      <w:r>
        <w:rPr>
          <w:rFonts w:hint="default" w:ascii="Times New Roman" w:hAnsi="Times New Roman" w:eastAsia="仿宋_GB2312" w:cs="Times New Roman"/>
          <w:color w:val="000000"/>
          <w:kern w:val="0"/>
          <w:sz w:val="32"/>
          <w:szCs w:val="32"/>
          <w:highlight w:val="none"/>
          <w:lang w:val="en-US" w:eastAsia="zh-CN"/>
        </w:rPr>
        <w:t>进口铂化学成分</w:t>
      </w:r>
      <w:r>
        <w:rPr>
          <w:rFonts w:hint="default" w:ascii="Times New Roman" w:hAnsi="Times New Roman" w:eastAsia="仿宋_GB2312" w:cs="Times New Roman"/>
          <w:color w:val="000000"/>
          <w:kern w:val="0"/>
          <w:sz w:val="32"/>
          <w:szCs w:val="32"/>
          <w:highlight w:val="none"/>
        </w:rPr>
        <w:t>应符合表</w:t>
      </w:r>
      <w:r>
        <w:rPr>
          <w:rFonts w:hint="default" w:ascii="Times New Roman" w:hAnsi="Times New Roman" w:eastAsia="仿宋_GB2312" w:cs="Times New Roman"/>
          <w:color w:val="000000"/>
          <w:kern w:val="0"/>
          <w:sz w:val="32"/>
          <w:szCs w:val="32"/>
          <w:highlight w:val="none"/>
          <w:lang w:val="en-US" w:eastAsia="zh-CN"/>
        </w:rPr>
        <w:t>2的</w:t>
      </w:r>
      <w:r>
        <w:rPr>
          <w:rFonts w:hint="default" w:ascii="Times New Roman" w:hAnsi="Times New Roman" w:eastAsia="仿宋_GB2312" w:cs="Times New Roman"/>
          <w:color w:val="000000"/>
          <w:kern w:val="0"/>
          <w:sz w:val="32"/>
          <w:szCs w:val="32"/>
          <w:highlight w:val="none"/>
        </w:rPr>
        <w:t>要求</w:t>
      </w:r>
      <w:r>
        <w:rPr>
          <w:rFonts w:hint="default" w:ascii="Times New Roman" w:hAnsi="Times New Roman" w:eastAsia="仿宋_GB2312" w:cs="Times New Roman"/>
          <w:sz w:val="32"/>
          <w:szCs w:val="32"/>
          <w:highlight w:val="none"/>
          <w:lang w:val="en-US" w:eastAsia="zh-CN"/>
        </w:rPr>
        <w:t>。铂含量为100%减去杂质元素含量总和的余量，杂质元素包括表2所列杂质元素。</w:t>
      </w:r>
      <w:r>
        <w:rPr>
          <w:rFonts w:hint="default" w:ascii="Times New Roman" w:hAnsi="Times New Roman" w:cs="Times New Roman"/>
          <w:sz w:val="32"/>
          <w:szCs w:val="32"/>
          <w:highlight w:val="none"/>
          <w:lang w:val="en-US" w:eastAsia="zh-CN"/>
        </w:rPr>
        <w:t>杂质元素含量的检测结果</w:t>
      </w:r>
      <w:r>
        <w:rPr>
          <w:rFonts w:hint="default" w:ascii="Times New Roman" w:hAnsi="Times New Roman" w:eastAsia="仿宋_GB2312" w:cs="Times New Roman"/>
          <w:sz w:val="32"/>
          <w:szCs w:val="32"/>
          <w:highlight w:val="none"/>
          <w:lang w:val="en-US" w:eastAsia="zh-CN"/>
        </w:rPr>
        <w:t>低于分析方法检测下限的</w:t>
      </w:r>
      <w:r>
        <w:rPr>
          <w:rFonts w:hint="default" w:ascii="Times New Roman" w:hAnsi="Times New Roman" w:cs="Times New Roman"/>
          <w:sz w:val="32"/>
          <w:szCs w:val="32"/>
          <w:highlight w:val="none"/>
          <w:lang w:val="en-US" w:eastAsia="zh-CN"/>
        </w:rPr>
        <w:t>，</w:t>
      </w:r>
      <w:r>
        <w:rPr>
          <w:rFonts w:hint="default" w:ascii="Times New Roman" w:hAnsi="Times New Roman" w:eastAsia="仿宋_GB2312" w:cs="Times New Roman"/>
          <w:sz w:val="32"/>
          <w:szCs w:val="32"/>
          <w:highlight w:val="none"/>
          <w:lang w:val="en-US" w:eastAsia="zh-CN"/>
        </w:rPr>
        <w:t>按照检测下限报出，</w:t>
      </w:r>
      <w:r>
        <w:rPr>
          <w:rFonts w:hint="default" w:ascii="Times New Roman" w:hAnsi="Times New Roman" w:cs="Times New Roman"/>
          <w:sz w:val="32"/>
          <w:szCs w:val="32"/>
          <w:highlight w:val="none"/>
          <w:lang w:val="en-US" w:eastAsia="zh-CN"/>
        </w:rPr>
        <w:t>该杂质元素不</w:t>
      </w:r>
      <w:r>
        <w:rPr>
          <w:rFonts w:hint="default" w:ascii="Times New Roman" w:hAnsi="Times New Roman" w:eastAsia="仿宋_GB2312" w:cs="Times New Roman"/>
          <w:sz w:val="32"/>
          <w:szCs w:val="32"/>
          <w:highlight w:val="none"/>
          <w:lang w:val="en-US" w:eastAsia="zh-CN"/>
        </w:rPr>
        <w:t>参与减量</w:t>
      </w:r>
      <w:r>
        <w:rPr>
          <w:rStyle w:val="11"/>
          <w:rFonts w:hint="default" w:ascii="Times New Roman" w:hAnsi="Times New Roman" w:eastAsia="仿宋_GB2312" w:cs="Times New Roman"/>
          <w:sz w:val="32"/>
          <w:szCs w:val="32"/>
          <w:highlight w:val="none"/>
          <w:lang w:val="en-US" w:eastAsia="zh-CN"/>
        </w:rPr>
        <w:footnoteReference w:id="1"/>
      </w:r>
      <w:r>
        <w:rPr>
          <w:rFonts w:hint="default" w:ascii="Times New Roman" w:hAnsi="Times New Roman" w:eastAsia="仿宋_GB2312" w:cs="Times New Roman"/>
          <w:sz w:val="32"/>
          <w:szCs w:val="32"/>
          <w:highlight w:val="none"/>
          <w:lang w:val="en-US" w:eastAsia="zh-CN"/>
        </w:rPr>
        <w:t>。</w:t>
      </w:r>
    </w:p>
    <w:p>
      <w:pPr>
        <w:pStyle w:val="2"/>
        <w:jc w:val="right"/>
        <w:rPr>
          <w:rFonts w:hint="default"/>
          <w:lang w:val="en-US" w:eastAsia="zh-CN"/>
        </w:rPr>
      </w:pPr>
      <w:r>
        <w:rPr>
          <w:rFonts w:hint="default" w:eastAsia="仿宋_GB2312"/>
          <w:sz w:val="32"/>
          <w:szCs w:val="32"/>
          <w:highlight w:val="none"/>
          <w:lang w:val="en-US" w:eastAsia="zh-CN"/>
        </w:rPr>
        <w:t xml:space="preserve">                  表2                         %</w:t>
      </w:r>
    </w:p>
    <w:tbl>
      <w:tblPr>
        <w:tblStyle w:val="8"/>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3064"/>
        <w:gridCol w:w="2470"/>
        <w:gridCol w:w="34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0" w:hRule="atLeast"/>
          <w:jc w:val="center"/>
        </w:trPr>
        <w:tc>
          <w:tcPr>
            <w:tcW w:w="3094" w:type="pct"/>
            <w:gridSpan w:val="2"/>
            <w:shd w:val="clear" w:color="auto" w:fill="FFFFFF"/>
            <w:tcMar>
              <w:left w:w="108" w:type="dxa"/>
              <w:right w:w="108" w:type="dxa"/>
            </w:tcMar>
            <w:vAlign w:val="center"/>
          </w:tcPr>
          <w:p>
            <w:pPr>
              <w:widowControl/>
              <w:spacing w:before="100" w:beforeAutospacing="1" w:after="100" w:afterAutospacing="1"/>
              <w:ind w:left="0" w:leftChars="0" w:firstLine="0" w:firstLineChars="0"/>
              <w:jc w:val="center"/>
              <w:rPr>
                <w:rFonts w:ascii="Times New Roman" w:hAnsi="Times New Roman" w:eastAsia="仿宋_GB2312" w:cs="Times New Roman"/>
                <w:b w:val="0"/>
                <w:bCs w:val="0"/>
                <w:kern w:val="0"/>
                <w:sz w:val="24"/>
                <w:szCs w:val="24"/>
                <w:highlight w:val="none"/>
                <w:lang w:val="en-US" w:eastAsia="zh-CN" w:bidi="ar-SA"/>
              </w:rPr>
            </w:pPr>
            <w:r>
              <w:rPr>
                <w:rFonts w:hint="default" w:ascii="Times New Roman" w:hAnsi="Times New Roman" w:cs="Times New Roman"/>
                <w:b w:val="0"/>
                <w:bCs w:val="0"/>
                <w:kern w:val="0"/>
                <w:sz w:val="24"/>
                <w:szCs w:val="24"/>
                <w:highlight w:val="none"/>
                <w:lang w:val="en-US" w:eastAsia="zh-CN" w:bidi="ar-SA"/>
              </w:rPr>
              <w:t>项目</w:t>
            </w:r>
          </w:p>
        </w:tc>
        <w:tc>
          <w:tcPr>
            <w:tcW w:w="1905" w:type="pct"/>
            <w:shd w:val="clear" w:color="auto" w:fill="FFFFFF"/>
            <w:tcMar>
              <w:left w:w="108" w:type="dxa"/>
              <w:right w:w="108" w:type="dxa"/>
            </w:tcMar>
            <w:vAlign w:val="center"/>
          </w:tcPr>
          <w:p>
            <w:pPr>
              <w:widowControl/>
              <w:spacing w:before="0" w:beforeAutospacing="0" w:after="0" w:afterAutospacing="0"/>
              <w:ind w:left="0" w:leftChars="0" w:firstLine="0" w:firstLineChars="0"/>
              <w:jc w:val="center"/>
              <w:rPr>
                <w:rFonts w:hint="default" w:ascii="Times New Roman" w:hAnsi="Times New Roman" w:eastAsia="仿宋_GB2312" w:cs="Times New Roman"/>
                <w:b w:val="0"/>
                <w:bCs w:val="0"/>
                <w:kern w:val="0"/>
                <w:sz w:val="24"/>
                <w:szCs w:val="24"/>
                <w:highlight w:val="none"/>
                <w:lang w:val="en-US" w:eastAsia="zh-CN" w:bidi="ar-SA"/>
              </w:rPr>
            </w:pPr>
            <w:r>
              <w:rPr>
                <w:rFonts w:ascii="Times New Roman" w:hAnsi="Times New Roman" w:eastAsia="仿宋_GB2312" w:cs="Times New Roman"/>
                <w:b w:val="0"/>
                <w:bCs w:val="0"/>
                <w:kern w:val="0"/>
                <w:sz w:val="24"/>
                <w:szCs w:val="24"/>
                <w:highlight w:val="none"/>
                <w:lang w:val="en-US" w:eastAsia="zh-CN" w:bidi="ar-SA"/>
              </w:rPr>
              <w:t>进口铂</w:t>
            </w:r>
            <w:r>
              <w:rPr>
                <w:rFonts w:hint="default" w:ascii="Times New Roman" w:hAnsi="Times New Roman" w:cs="Times New Roman"/>
                <w:b w:val="0"/>
                <w:bCs w:val="0"/>
                <w:kern w:val="0"/>
                <w:sz w:val="24"/>
                <w:szCs w:val="24"/>
                <w:highlight w:val="none"/>
                <w:lang w:val="en-US" w:eastAsia="zh-CN" w:bidi="ar-SA"/>
              </w:rPr>
              <w:t>锭、海绵铂、铂粉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0" w:hRule="atLeast"/>
          <w:jc w:val="center"/>
        </w:trPr>
        <w:tc>
          <w:tcPr>
            <w:tcW w:w="3094" w:type="pct"/>
            <w:gridSpan w:val="2"/>
            <w:shd w:val="clear" w:color="auto" w:fill="FFFFFF"/>
            <w:tcMar>
              <w:left w:w="108" w:type="dxa"/>
              <w:right w:w="108" w:type="dxa"/>
            </w:tcMar>
            <w:vAlign w:val="center"/>
          </w:tcPr>
          <w:p>
            <w:pPr>
              <w:widowControl/>
              <w:spacing w:before="100" w:beforeAutospacing="1" w:after="100" w:afterAutospacing="1"/>
              <w:ind w:left="0" w:leftChars="0" w:firstLine="0" w:firstLineChars="0"/>
              <w:jc w:val="center"/>
              <w:rPr>
                <w:rFonts w:ascii="Times New Roman" w:hAnsi="Times New Roman" w:eastAsia="仿宋_GB2312" w:cs="Times New Roman"/>
                <w:kern w:val="0"/>
                <w:sz w:val="24"/>
                <w:szCs w:val="24"/>
                <w:highlight w:val="none"/>
                <w:lang w:val="en-US" w:eastAsia="zh-CN" w:bidi="ar-SA"/>
              </w:rPr>
            </w:pPr>
            <w:r>
              <w:rPr>
                <w:rFonts w:ascii="Times New Roman" w:hAnsi="Times New Roman" w:eastAsia="仿宋_GB2312" w:cs="Times New Roman"/>
                <w:kern w:val="0"/>
                <w:sz w:val="24"/>
                <w:szCs w:val="24"/>
                <w:highlight w:val="none"/>
                <w:lang w:val="en-US" w:eastAsia="zh-CN" w:bidi="ar-SA"/>
              </w:rPr>
              <w:t>铂含量</w:t>
            </w:r>
            <w:r>
              <w:rPr>
                <w:rFonts w:hint="default" w:ascii="Times New Roman" w:hAnsi="Times New Roman" w:cs="Times New Roman"/>
                <w:kern w:val="0"/>
                <w:sz w:val="24"/>
                <w:szCs w:val="24"/>
                <w:highlight w:val="none"/>
                <w:lang w:val="en-US" w:eastAsia="zh-CN" w:bidi="ar-SA"/>
              </w:rPr>
              <w:t>（质量分数）</w:t>
            </w:r>
            <w:r>
              <w:rPr>
                <w:rFonts w:ascii="Times New Roman" w:hAnsi="Times New Roman" w:eastAsia="仿宋_GB2312" w:cs="Times New Roman"/>
                <w:kern w:val="0"/>
                <w:sz w:val="24"/>
                <w:szCs w:val="24"/>
                <w:highlight w:val="none"/>
                <w:lang w:val="en-US" w:eastAsia="zh-CN" w:bidi="ar-SA"/>
              </w:rPr>
              <w:t>≥</w:t>
            </w:r>
          </w:p>
        </w:tc>
        <w:tc>
          <w:tcPr>
            <w:tcW w:w="1905" w:type="pct"/>
            <w:shd w:val="clear" w:color="auto" w:fill="FFFFFF"/>
            <w:tcMar>
              <w:left w:w="108" w:type="dxa"/>
              <w:right w:w="108" w:type="dxa"/>
            </w:tcMar>
            <w:vAlign w:val="center"/>
          </w:tcPr>
          <w:p>
            <w:pPr>
              <w:widowControl/>
              <w:spacing w:before="100" w:beforeAutospacing="1" w:after="100" w:afterAutospacing="1"/>
              <w:ind w:left="0" w:leftChars="0" w:firstLine="0" w:firstLineChars="0"/>
              <w:jc w:val="center"/>
              <w:rPr>
                <w:rFonts w:ascii="Times New Roman" w:hAnsi="Times New Roman" w:eastAsia="仿宋_GB2312" w:cs="Times New Roman"/>
                <w:kern w:val="0"/>
                <w:sz w:val="24"/>
                <w:szCs w:val="24"/>
                <w:highlight w:val="none"/>
                <w:lang w:val="en-US" w:eastAsia="zh-CN" w:bidi="ar-SA"/>
              </w:rPr>
            </w:pPr>
            <w:r>
              <w:rPr>
                <w:rFonts w:ascii="Times New Roman" w:hAnsi="Times New Roman" w:eastAsia="仿宋_GB2312" w:cs="Times New Roman"/>
                <w:kern w:val="0"/>
                <w:sz w:val="24"/>
                <w:szCs w:val="24"/>
                <w:highlight w:val="none"/>
                <w:lang w:val="en-US" w:eastAsia="zh-CN" w:bidi="ar-SA"/>
              </w:rPr>
              <w:t>99.95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0" w:hRule="atLeast"/>
          <w:jc w:val="center"/>
        </w:trPr>
        <w:tc>
          <w:tcPr>
            <w:tcW w:w="1713" w:type="pct"/>
            <w:vMerge w:val="restart"/>
            <w:shd w:val="clear" w:color="auto" w:fill="FFFFFF"/>
            <w:tcMar>
              <w:left w:w="108" w:type="dxa"/>
              <w:right w:w="108" w:type="dxa"/>
            </w:tcMar>
            <w:vAlign w:val="center"/>
          </w:tcPr>
          <w:p>
            <w:pPr>
              <w:spacing w:line="240" w:lineRule="auto"/>
              <w:ind w:firstLine="0" w:firstLineChars="0"/>
              <w:jc w:val="center"/>
              <w:rPr>
                <w:rFonts w:ascii="Times New Roman" w:hAnsi="Times New Roman" w:eastAsia="仿宋_GB2312" w:cs="Times New Roman"/>
                <w:kern w:val="0"/>
                <w:sz w:val="24"/>
                <w:szCs w:val="24"/>
                <w:highlight w:val="none"/>
                <w:lang w:val="en-US" w:eastAsia="zh-CN" w:bidi="ar-SA"/>
              </w:rPr>
            </w:pPr>
          </w:p>
          <w:p>
            <w:pPr>
              <w:spacing w:line="240" w:lineRule="auto"/>
              <w:ind w:firstLine="0" w:firstLineChars="0"/>
              <w:jc w:val="center"/>
              <w:rPr>
                <w:rFonts w:ascii="Times New Roman" w:hAnsi="Times New Roman" w:eastAsia="仿宋_GB2312" w:cs="Times New Roman"/>
                <w:kern w:val="0"/>
                <w:sz w:val="24"/>
                <w:szCs w:val="24"/>
                <w:highlight w:val="none"/>
                <w:lang w:val="en-US" w:eastAsia="zh-CN" w:bidi="ar-SA"/>
              </w:rPr>
            </w:pPr>
          </w:p>
          <w:p>
            <w:pPr>
              <w:spacing w:line="240" w:lineRule="auto"/>
              <w:ind w:firstLine="0" w:firstLineChars="0"/>
              <w:jc w:val="center"/>
              <w:rPr>
                <w:rFonts w:ascii="Times New Roman" w:hAnsi="Times New Roman" w:eastAsia="仿宋_GB2312" w:cs="Times New Roman"/>
                <w:kern w:val="0"/>
                <w:sz w:val="24"/>
                <w:szCs w:val="24"/>
                <w:highlight w:val="none"/>
                <w:lang w:val="en-US" w:eastAsia="zh-CN" w:bidi="ar-SA"/>
              </w:rPr>
            </w:pPr>
          </w:p>
          <w:p>
            <w:pPr>
              <w:spacing w:line="240" w:lineRule="auto"/>
              <w:ind w:firstLine="0" w:firstLineChars="0"/>
              <w:jc w:val="center"/>
              <w:rPr>
                <w:rFonts w:ascii="Times New Roman" w:hAnsi="Times New Roman" w:eastAsia="仿宋_GB2312" w:cs="Times New Roman"/>
                <w:kern w:val="0"/>
                <w:sz w:val="24"/>
                <w:szCs w:val="24"/>
                <w:highlight w:val="none"/>
                <w:lang w:val="en-US" w:eastAsia="zh-CN" w:bidi="ar-SA"/>
              </w:rPr>
            </w:pPr>
          </w:p>
          <w:p>
            <w:pPr>
              <w:spacing w:line="240" w:lineRule="auto"/>
              <w:ind w:firstLine="0" w:firstLineChars="0"/>
              <w:jc w:val="center"/>
              <w:rPr>
                <w:rFonts w:ascii="Times New Roman" w:hAnsi="Times New Roman" w:eastAsia="仿宋_GB2312" w:cs="Times New Roman"/>
                <w:kern w:val="0"/>
                <w:sz w:val="24"/>
                <w:szCs w:val="24"/>
                <w:highlight w:val="none"/>
                <w:lang w:val="en-US" w:eastAsia="zh-CN" w:bidi="ar-SA"/>
              </w:rPr>
            </w:pPr>
          </w:p>
          <w:p>
            <w:pPr>
              <w:spacing w:line="240" w:lineRule="auto"/>
              <w:ind w:firstLine="0" w:firstLineChars="0"/>
              <w:jc w:val="center"/>
              <w:rPr>
                <w:rFonts w:ascii="Times New Roman" w:hAnsi="Times New Roman" w:eastAsia="仿宋_GB2312" w:cs="Times New Roman"/>
                <w:kern w:val="0"/>
                <w:sz w:val="24"/>
                <w:szCs w:val="24"/>
                <w:highlight w:val="none"/>
                <w:lang w:val="en-US" w:eastAsia="zh-CN" w:bidi="ar-SA"/>
              </w:rPr>
            </w:pPr>
          </w:p>
          <w:p>
            <w:pPr>
              <w:spacing w:line="240" w:lineRule="auto"/>
              <w:ind w:firstLine="0" w:firstLineChars="0"/>
              <w:jc w:val="center"/>
              <w:rPr>
                <w:rFonts w:ascii="Times New Roman" w:hAnsi="Times New Roman" w:eastAsia="仿宋_GB2312" w:cs="Times New Roman"/>
                <w:kern w:val="0"/>
                <w:sz w:val="24"/>
                <w:szCs w:val="24"/>
                <w:highlight w:val="none"/>
                <w:lang w:val="en-US" w:eastAsia="zh-CN" w:bidi="ar-SA"/>
              </w:rPr>
            </w:pPr>
          </w:p>
          <w:p>
            <w:pPr>
              <w:spacing w:line="240" w:lineRule="auto"/>
              <w:ind w:firstLine="0" w:firstLineChars="0"/>
              <w:jc w:val="center"/>
              <w:rPr>
                <w:rFonts w:ascii="Times New Roman" w:hAnsi="Times New Roman" w:eastAsia="仿宋_GB2312" w:cs="Times New Roman"/>
                <w:kern w:val="0"/>
                <w:sz w:val="24"/>
                <w:szCs w:val="24"/>
                <w:highlight w:val="none"/>
                <w:lang w:val="en-US" w:eastAsia="zh-CN" w:bidi="ar-SA"/>
              </w:rPr>
            </w:pPr>
          </w:p>
          <w:p>
            <w:pPr>
              <w:spacing w:line="240" w:lineRule="auto"/>
              <w:ind w:firstLine="0" w:firstLineChars="0"/>
              <w:jc w:val="center"/>
              <w:rPr>
                <w:rFonts w:ascii="Times New Roman" w:hAnsi="Times New Roman" w:eastAsia="仿宋_GB2312" w:cs="Times New Roman"/>
                <w:kern w:val="0"/>
                <w:sz w:val="24"/>
                <w:szCs w:val="24"/>
                <w:highlight w:val="none"/>
                <w:lang w:val="en-US" w:eastAsia="zh-CN" w:bidi="ar-SA"/>
              </w:rPr>
            </w:pPr>
          </w:p>
          <w:p>
            <w:pPr>
              <w:spacing w:line="240" w:lineRule="auto"/>
              <w:ind w:firstLine="0" w:firstLineChars="0"/>
              <w:jc w:val="center"/>
              <w:rPr>
                <w:rFonts w:ascii="Times New Roman" w:hAnsi="Times New Roman" w:eastAsia="仿宋_GB2312" w:cs="Times New Roman"/>
                <w:kern w:val="0"/>
                <w:sz w:val="24"/>
                <w:szCs w:val="24"/>
                <w:highlight w:val="none"/>
                <w:lang w:val="en-US" w:eastAsia="zh-CN" w:bidi="ar-SA"/>
              </w:rPr>
            </w:pPr>
          </w:p>
          <w:p>
            <w:pPr>
              <w:spacing w:line="240" w:lineRule="auto"/>
              <w:ind w:firstLine="0" w:firstLineChars="0"/>
              <w:jc w:val="center"/>
              <w:rPr>
                <w:rFonts w:ascii="Times New Roman" w:hAnsi="Times New Roman" w:eastAsia="仿宋_GB2312" w:cs="Times New Roman"/>
                <w:kern w:val="0"/>
                <w:sz w:val="24"/>
                <w:szCs w:val="24"/>
                <w:highlight w:val="none"/>
                <w:lang w:val="en-US" w:eastAsia="zh-CN" w:bidi="ar-SA"/>
              </w:rPr>
            </w:pPr>
          </w:p>
          <w:p>
            <w:pPr>
              <w:spacing w:line="240" w:lineRule="auto"/>
              <w:ind w:firstLine="0" w:firstLineChars="0"/>
              <w:jc w:val="center"/>
              <w:rPr>
                <w:rFonts w:ascii="Times New Roman" w:hAnsi="Times New Roman" w:eastAsia="仿宋_GB2312" w:cs="Times New Roman"/>
                <w:kern w:val="0"/>
                <w:sz w:val="24"/>
                <w:szCs w:val="24"/>
                <w:highlight w:val="none"/>
                <w:lang w:val="en-US" w:eastAsia="zh-CN" w:bidi="ar-SA"/>
              </w:rPr>
            </w:pPr>
          </w:p>
          <w:p>
            <w:pPr>
              <w:spacing w:line="240" w:lineRule="auto"/>
              <w:ind w:firstLine="0" w:firstLineChars="0"/>
              <w:jc w:val="center"/>
              <w:rPr>
                <w:rFonts w:ascii="Times New Roman" w:hAnsi="Times New Roman" w:eastAsia="仿宋_GB2312" w:cs="Times New Roman"/>
                <w:kern w:val="0"/>
                <w:sz w:val="24"/>
                <w:szCs w:val="24"/>
                <w:highlight w:val="none"/>
                <w:lang w:val="en-US" w:eastAsia="zh-CN" w:bidi="ar-SA"/>
              </w:rPr>
            </w:pPr>
          </w:p>
          <w:p>
            <w:pPr>
              <w:spacing w:line="240" w:lineRule="auto"/>
              <w:ind w:firstLine="0" w:firstLineChars="0"/>
              <w:jc w:val="center"/>
              <w:rPr>
                <w:rFonts w:ascii="Times New Roman" w:hAnsi="Times New Roman" w:eastAsia="仿宋_GB2312" w:cs="Times New Roman"/>
                <w:kern w:val="0"/>
                <w:sz w:val="24"/>
                <w:szCs w:val="24"/>
                <w:highlight w:val="none"/>
                <w:lang w:val="en-US" w:eastAsia="zh-CN" w:bidi="ar-SA"/>
              </w:rPr>
            </w:pPr>
          </w:p>
          <w:p>
            <w:pPr>
              <w:spacing w:line="240" w:lineRule="auto"/>
              <w:ind w:firstLine="0" w:firstLineChars="0"/>
              <w:jc w:val="center"/>
              <w:rPr>
                <w:rFonts w:ascii="Times New Roman" w:hAnsi="Times New Roman" w:eastAsia="仿宋_GB2312" w:cs="Times New Roman"/>
                <w:kern w:val="0"/>
                <w:sz w:val="24"/>
                <w:szCs w:val="24"/>
                <w:highlight w:val="none"/>
                <w:lang w:val="en-US" w:eastAsia="zh-CN" w:bidi="ar-SA"/>
              </w:rPr>
            </w:pPr>
          </w:p>
          <w:p>
            <w:pPr>
              <w:spacing w:line="240" w:lineRule="auto"/>
              <w:ind w:firstLine="0" w:firstLineChars="0"/>
              <w:jc w:val="center"/>
              <w:rPr>
                <w:rFonts w:ascii="Times New Roman" w:hAnsi="Times New Roman" w:eastAsia="仿宋_GB2312" w:cs="Times New Roman"/>
                <w:kern w:val="0"/>
                <w:sz w:val="24"/>
                <w:szCs w:val="24"/>
                <w:highlight w:val="none"/>
                <w:lang w:val="en-US" w:eastAsia="zh-CN" w:bidi="ar-SA"/>
              </w:rPr>
            </w:pPr>
          </w:p>
          <w:p>
            <w:pPr>
              <w:spacing w:line="240" w:lineRule="auto"/>
              <w:ind w:firstLine="0" w:firstLineChars="0"/>
              <w:jc w:val="center"/>
              <w:rPr>
                <w:rFonts w:ascii="Times New Roman" w:hAnsi="Times New Roman" w:eastAsia="仿宋_GB2312" w:cs="Times New Roman"/>
                <w:kern w:val="0"/>
                <w:sz w:val="24"/>
                <w:szCs w:val="24"/>
                <w:highlight w:val="none"/>
                <w:lang w:val="en-US" w:eastAsia="zh-CN" w:bidi="ar-SA"/>
              </w:rPr>
            </w:pPr>
          </w:p>
          <w:p>
            <w:pPr>
              <w:spacing w:line="240" w:lineRule="auto"/>
              <w:ind w:firstLine="0" w:firstLineChars="0"/>
              <w:jc w:val="center"/>
              <w:rPr>
                <w:rFonts w:ascii="Times New Roman" w:hAnsi="Times New Roman" w:eastAsia="仿宋_GB2312" w:cs="Times New Roman"/>
                <w:kern w:val="0"/>
                <w:sz w:val="24"/>
                <w:szCs w:val="24"/>
                <w:highlight w:val="none"/>
                <w:lang w:val="en-US" w:eastAsia="zh-CN" w:bidi="ar-SA"/>
              </w:rPr>
            </w:pPr>
          </w:p>
          <w:p>
            <w:pPr>
              <w:spacing w:line="240" w:lineRule="auto"/>
              <w:ind w:firstLine="0" w:firstLineChars="0"/>
              <w:jc w:val="center"/>
              <w:rPr>
                <w:rFonts w:ascii="Times New Roman" w:hAnsi="Times New Roman" w:eastAsia="仿宋_GB2312" w:cs="Times New Roman"/>
                <w:kern w:val="0"/>
                <w:sz w:val="24"/>
                <w:szCs w:val="24"/>
                <w:highlight w:val="none"/>
                <w:lang w:val="en-US" w:eastAsia="zh-CN" w:bidi="ar-SA"/>
              </w:rPr>
            </w:pPr>
          </w:p>
          <w:p>
            <w:pPr>
              <w:spacing w:line="240" w:lineRule="auto"/>
              <w:ind w:firstLine="0" w:firstLineChars="0"/>
              <w:jc w:val="center"/>
              <w:rPr>
                <w:rFonts w:ascii="Times New Roman" w:hAnsi="Times New Roman" w:eastAsia="仿宋_GB2312" w:cs="Times New Roman"/>
                <w:kern w:val="0"/>
                <w:sz w:val="24"/>
                <w:szCs w:val="24"/>
                <w:highlight w:val="none"/>
                <w:lang w:val="en-US" w:eastAsia="zh-CN" w:bidi="ar-SA"/>
              </w:rPr>
            </w:pPr>
          </w:p>
          <w:p>
            <w:pPr>
              <w:spacing w:line="240" w:lineRule="auto"/>
              <w:ind w:firstLine="0" w:firstLineChars="0"/>
              <w:jc w:val="center"/>
              <w:rPr>
                <w:rFonts w:ascii="Times New Roman" w:hAnsi="Times New Roman" w:eastAsia="仿宋_GB2312" w:cs="Times New Roman"/>
                <w:kern w:val="0"/>
                <w:sz w:val="24"/>
                <w:szCs w:val="24"/>
                <w:highlight w:val="none"/>
                <w:lang w:val="en-US" w:eastAsia="zh-CN" w:bidi="ar-SA"/>
              </w:rPr>
            </w:pPr>
          </w:p>
          <w:p>
            <w:pPr>
              <w:spacing w:line="240" w:lineRule="auto"/>
              <w:ind w:firstLine="0" w:firstLineChars="0"/>
              <w:jc w:val="center"/>
              <w:rPr>
                <w:rFonts w:ascii="Times New Roman" w:hAnsi="Times New Roman" w:eastAsia="仿宋_GB2312" w:cs="Times New Roman"/>
                <w:kern w:val="0"/>
                <w:sz w:val="24"/>
                <w:szCs w:val="24"/>
                <w:highlight w:val="none"/>
                <w:lang w:val="en-US" w:eastAsia="zh-CN" w:bidi="ar-SA"/>
              </w:rPr>
            </w:pPr>
          </w:p>
          <w:p>
            <w:pPr>
              <w:spacing w:line="240" w:lineRule="auto"/>
              <w:ind w:firstLine="0" w:firstLineChars="0"/>
              <w:jc w:val="center"/>
              <w:rPr>
                <w:rFonts w:ascii="Times New Roman" w:hAnsi="Times New Roman" w:eastAsia="仿宋_GB2312" w:cs="Times New Roman"/>
                <w:kern w:val="0"/>
                <w:sz w:val="24"/>
                <w:szCs w:val="24"/>
                <w:highlight w:val="none"/>
                <w:lang w:val="en-US" w:eastAsia="zh-CN" w:bidi="ar-SA"/>
              </w:rPr>
            </w:pPr>
          </w:p>
          <w:p>
            <w:pPr>
              <w:spacing w:line="240" w:lineRule="auto"/>
              <w:ind w:firstLine="0" w:firstLineChars="0"/>
              <w:jc w:val="center"/>
              <w:rPr>
                <w:rFonts w:ascii="Times New Roman" w:hAnsi="Times New Roman" w:eastAsia="仿宋_GB2312" w:cs="Times New Roman"/>
                <w:kern w:val="0"/>
                <w:sz w:val="24"/>
                <w:szCs w:val="24"/>
                <w:highlight w:val="none"/>
                <w:lang w:val="en-US" w:eastAsia="zh-CN" w:bidi="ar-SA"/>
              </w:rPr>
            </w:pPr>
          </w:p>
          <w:p>
            <w:pPr>
              <w:spacing w:line="240" w:lineRule="auto"/>
              <w:ind w:firstLine="0" w:firstLineChars="0"/>
              <w:jc w:val="center"/>
              <w:rPr>
                <w:rFonts w:ascii="Times New Roman" w:hAnsi="Times New Roman" w:eastAsia="仿宋_GB2312" w:cs="Times New Roman"/>
                <w:kern w:val="0"/>
                <w:sz w:val="24"/>
                <w:szCs w:val="24"/>
                <w:highlight w:val="none"/>
                <w:lang w:val="en-US" w:eastAsia="zh-CN" w:bidi="ar-SA"/>
              </w:rPr>
            </w:pPr>
          </w:p>
          <w:p>
            <w:pPr>
              <w:spacing w:line="240" w:lineRule="auto"/>
              <w:ind w:firstLine="0" w:firstLineChars="0"/>
              <w:jc w:val="center"/>
              <w:rPr>
                <w:rFonts w:ascii="Times New Roman" w:hAnsi="Times New Roman" w:eastAsia="仿宋_GB2312" w:cs="Times New Roman"/>
                <w:kern w:val="0"/>
                <w:sz w:val="24"/>
                <w:szCs w:val="24"/>
                <w:highlight w:val="none"/>
                <w:lang w:val="en-US" w:eastAsia="zh-CN" w:bidi="ar-SA"/>
              </w:rPr>
            </w:pPr>
          </w:p>
          <w:p>
            <w:pPr>
              <w:spacing w:line="240" w:lineRule="auto"/>
              <w:ind w:firstLine="0" w:firstLineChars="0"/>
              <w:jc w:val="center"/>
              <w:rPr>
                <w:rFonts w:ascii="Times New Roman" w:hAnsi="Times New Roman" w:eastAsia="仿宋_GB2312" w:cs="Times New Roman"/>
                <w:kern w:val="0"/>
                <w:sz w:val="24"/>
                <w:szCs w:val="24"/>
                <w:highlight w:val="none"/>
                <w:lang w:val="en-US" w:eastAsia="zh-CN" w:bidi="ar-SA"/>
              </w:rPr>
            </w:pPr>
          </w:p>
          <w:p>
            <w:pPr>
              <w:spacing w:line="240" w:lineRule="auto"/>
              <w:ind w:firstLine="0" w:firstLineChars="0"/>
              <w:jc w:val="center"/>
              <w:rPr>
                <w:rFonts w:ascii="Times New Roman" w:hAnsi="Times New Roman" w:eastAsia="仿宋_GB2312" w:cs="Times New Roman"/>
                <w:kern w:val="0"/>
                <w:sz w:val="24"/>
                <w:szCs w:val="24"/>
                <w:highlight w:val="none"/>
                <w:lang w:val="en-US" w:eastAsia="zh-CN" w:bidi="ar-SA"/>
              </w:rPr>
            </w:pPr>
          </w:p>
          <w:p>
            <w:pPr>
              <w:spacing w:line="240" w:lineRule="auto"/>
              <w:ind w:firstLine="0" w:firstLineChars="0"/>
              <w:jc w:val="center"/>
              <w:rPr>
                <w:rFonts w:ascii="Times New Roman" w:hAnsi="Times New Roman" w:eastAsia="仿宋_GB2312" w:cs="Times New Roman"/>
                <w:kern w:val="0"/>
                <w:sz w:val="24"/>
                <w:szCs w:val="24"/>
                <w:highlight w:val="none"/>
                <w:lang w:val="en-US" w:eastAsia="zh-CN" w:bidi="ar-SA"/>
              </w:rPr>
            </w:pPr>
          </w:p>
          <w:p>
            <w:pPr>
              <w:spacing w:line="240" w:lineRule="auto"/>
              <w:ind w:firstLine="0" w:firstLineChars="0"/>
              <w:jc w:val="center"/>
              <w:rPr>
                <w:rFonts w:ascii="Times New Roman" w:hAnsi="Times New Roman" w:eastAsia="仿宋_GB2312" w:cs="Times New Roman"/>
                <w:kern w:val="0"/>
                <w:sz w:val="24"/>
                <w:szCs w:val="24"/>
                <w:highlight w:val="none"/>
                <w:lang w:val="en-US" w:eastAsia="zh-CN" w:bidi="ar-SA"/>
              </w:rPr>
            </w:pPr>
          </w:p>
          <w:p>
            <w:pPr>
              <w:spacing w:line="240" w:lineRule="auto"/>
              <w:ind w:firstLine="0" w:firstLineChars="0"/>
              <w:jc w:val="center"/>
              <w:rPr>
                <w:rFonts w:ascii="Times New Roman" w:hAnsi="Times New Roman" w:eastAsia="仿宋_GB2312" w:cs="Times New Roman"/>
                <w:kern w:val="0"/>
                <w:sz w:val="24"/>
                <w:szCs w:val="24"/>
                <w:highlight w:val="none"/>
                <w:lang w:val="en-US" w:eastAsia="zh-CN" w:bidi="ar-SA"/>
              </w:rPr>
            </w:pPr>
          </w:p>
          <w:p>
            <w:pPr>
              <w:spacing w:line="240" w:lineRule="auto"/>
              <w:ind w:firstLine="0" w:firstLineChars="0"/>
              <w:jc w:val="center"/>
              <w:rPr>
                <w:rFonts w:ascii="Times New Roman" w:hAnsi="Times New Roman" w:eastAsia="仿宋_GB2312" w:cs="Times New Roman"/>
                <w:sz w:val="21"/>
                <w:szCs w:val="22"/>
                <w:highlight w:val="none"/>
              </w:rPr>
            </w:pPr>
            <w:r>
              <w:rPr>
                <w:rFonts w:ascii="Times New Roman" w:hAnsi="Times New Roman" w:eastAsia="仿宋_GB2312" w:cs="Times New Roman"/>
                <w:kern w:val="0"/>
                <w:sz w:val="24"/>
                <w:szCs w:val="24"/>
                <w:highlight w:val="none"/>
                <w:lang w:val="en-US" w:eastAsia="zh-CN" w:bidi="ar-SA"/>
              </w:rPr>
              <w:t>杂质元素含量</w:t>
            </w:r>
            <w:r>
              <w:rPr>
                <w:rFonts w:hint="default" w:ascii="Times New Roman" w:hAnsi="Times New Roman" w:cs="Times New Roman"/>
                <w:kern w:val="0"/>
                <w:sz w:val="24"/>
                <w:szCs w:val="24"/>
                <w:highlight w:val="none"/>
                <w:lang w:val="en-US" w:eastAsia="zh-CN" w:bidi="ar-SA"/>
              </w:rPr>
              <w:t xml:space="preserve">（质量分数） </w:t>
            </w:r>
            <w:r>
              <w:rPr>
                <w:rFonts w:ascii="Times New Roman" w:hAnsi="Times New Roman" w:eastAsia="仿宋_GB2312" w:cs="Times New Roman"/>
                <w:kern w:val="0"/>
                <w:sz w:val="24"/>
                <w:szCs w:val="24"/>
                <w:highlight w:val="none"/>
                <w:lang w:val="en-US" w:eastAsia="zh-CN" w:bidi="ar-SA"/>
              </w:rPr>
              <w:t>≤</w:t>
            </w:r>
          </w:p>
        </w:tc>
        <w:tc>
          <w:tcPr>
            <w:tcW w:w="1381" w:type="pct"/>
            <w:shd w:val="clear" w:color="auto" w:fill="FFFFFF"/>
            <w:tcMar>
              <w:left w:w="108" w:type="dxa"/>
              <w:right w:w="108" w:type="dxa"/>
            </w:tcMar>
            <w:vAlign w:val="center"/>
          </w:tcPr>
          <w:p>
            <w:pPr>
              <w:widowControl/>
              <w:spacing w:before="100" w:beforeAutospacing="1" w:after="100" w:afterAutospacing="1"/>
              <w:ind w:left="0" w:leftChars="0" w:firstLine="0" w:firstLineChars="0"/>
              <w:jc w:val="center"/>
              <w:rPr>
                <w:rFonts w:ascii="Times New Roman" w:hAnsi="Times New Roman" w:eastAsia="仿宋_GB2312" w:cs="Times New Roman"/>
                <w:kern w:val="0"/>
                <w:sz w:val="24"/>
                <w:szCs w:val="24"/>
                <w:highlight w:val="none"/>
                <w:lang w:val="en-US" w:eastAsia="zh-CN" w:bidi="ar-SA"/>
              </w:rPr>
            </w:pPr>
            <w:r>
              <w:rPr>
                <w:rFonts w:ascii="Times New Roman" w:hAnsi="Times New Roman" w:eastAsia="仿宋_GB2312" w:cs="Times New Roman"/>
                <w:kern w:val="0"/>
                <w:sz w:val="24"/>
                <w:szCs w:val="24"/>
                <w:highlight w:val="none"/>
                <w:lang w:val="en-US" w:eastAsia="zh-CN" w:bidi="ar-SA"/>
              </w:rPr>
              <w:t>Pd</w:t>
            </w:r>
          </w:p>
        </w:tc>
        <w:tc>
          <w:tcPr>
            <w:tcW w:w="1905" w:type="pct"/>
            <w:shd w:val="clear" w:color="auto" w:fill="FFFFFF"/>
            <w:tcMar>
              <w:left w:w="108" w:type="dxa"/>
              <w:right w:w="108" w:type="dxa"/>
            </w:tcMar>
            <w:vAlign w:val="center"/>
          </w:tcPr>
          <w:p>
            <w:pPr>
              <w:widowControl/>
              <w:spacing w:before="100" w:beforeAutospacing="1" w:after="100" w:afterAutospacing="1"/>
              <w:ind w:left="0" w:leftChars="0" w:firstLine="0" w:firstLineChars="0"/>
              <w:jc w:val="center"/>
              <w:rPr>
                <w:rFonts w:hint="default" w:ascii="Times New Roman" w:hAnsi="Times New Roman" w:eastAsia="仿宋_GB2312" w:cs="Times New Roman"/>
                <w:kern w:val="0"/>
                <w:sz w:val="24"/>
                <w:szCs w:val="24"/>
                <w:highlight w:val="none"/>
                <w:lang w:val="en-US" w:eastAsia="zh-CN" w:bidi="ar-SA"/>
              </w:rPr>
            </w:pPr>
            <w:r>
              <w:rPr>
                <w:rFonts w:hint="default" w:ascii="Times New Roman" w:hAnsi="Times New Roman" w:cs="Times New Roman"/>
                <w:kern w:val="0"/>
                <w:sz w:val="24"/>
                <w:szCs w:val="24"/>
                <w:highlight w:val="none"/>
                <w:lang w:val="en-US" w:eastAsia="zh-CN" w:bidi="ar-SA"/>
              </w:rPr>
              <w:t>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0" w:hRule="atLeast"/>
          <w:jc w:val="center"/>
        </w:trPr>
        <w:tc>
          <w:tcPr>
            <w:tcW w:w="1713" w:type="pct"/>
            <w:vMerge w:val="continue"/>
            <w:shd w:val="clear" w:color="auto" w:fill="FFFFFF"/>
            <w:tcMar>
              <w:left w:w="108" w:type="dxa"/>
              <w:right w:w="108" w:type="dxa"/>
            </w:tcMar>
            <w:vAlign w:val="center"/>
          </w:tcPr>
          <w:p>
            <w:pPr>
              <w:spacing w:line="240" w:lineRule="auto"/>
              <w:ind w:firstLine="0" w:firstLineChars="0"/>
              <w:jc w:val="center"/>
              <w:rPr>
                <w:rFonts w:ascii="Times New Roman" w:hAnsi="Times New Roman" w:eastAsia="仿宋_GB2312" w:cs="Times New Roman"/>
                <w:sz w:val="21"/>
                <w:szCs w:val="22"/>
                <w:highlight w:val="none"/>
              </w:rPr>
            </w:pPr>
          </w:p>
        </w:tc>
        <w:tc>
          <w:tcPr>
            <w:tcW w:w="1381" w:type="pct"/>
            <w:shd w:val="clear" w:color="auto" w:fill="FFFFFF"/>
            <w:tcMar>
              <w:left w:w="108" w:type="dxa"/>
              <w:right w:w="108" w:type="dxa"/>
            </w:tcMar>
            <w:vAlign w:val="center"/>
          </w:tcPr>
          <w:p>
            <w:pPr>
              <w:widowControl/>
              <w:spacing w:before="100" w:beforeAutospacing="1" w:after="100" w:afterAutospacing="1"/>
              <w:ind w:left="0" w:leftChars="0" w:firstLine="0" w:firstLineChars="0"/>
              <w:jc w:val="center"/>
              <w:rPr>
                <w:rFonts w:ascii="Times New Roman" w:hAnsi="Times New Roman" w:eastAsia="仿宋_GB2312" w:cs="Times New Roman"/>
                <w:kern w:val="0"/>
                <w:sz w:val="24"/>
                <w:szCs w:val="24"/>
                <w:highlight w:val="none"/>
                <w:lang w:val="en-US" w:eastAsia="zh-CN" w:bidi="ar-SA"/>
              </w:rPr>
            </w:pPr>
            <w:r>
              <w:rPr>
                <w:rFonts w:ascii="Times New Roman" w:hAnsi="Times New Roman" w:eastAsia="仿宋_GB2312" w:cs="Times New Roman"/>
                <w:kern w:val="0"/>
                <w:sz w:val="24"/>
                <w:szCs w:val="24"/>
                <w:highlight w:val="none"/>
                <w:lang w:val="en-US" w:eastAsia="zh-CN" w:bidi="ar-SA"/>
              </w:rPr>
              <w:t>Rh</w:t>
            </w:r>
          </w:p>
        </w:tc>
        <w:tc>
          <w:tcPr>
            <w:tcW w:w="1905" w:type="pct"/>
            <w:shd w:val="clear" w:color="auto" w:fill="FFFFFF"/>
            <w:tcMar>
              <w:left w:w="108" w:type="dxa"/>
              <w:right w:w="108" w:type="dxa"/>
            </w:tcMar>
            <w:vAlign w:val="center"/>
          </w:tcPr>
          <w:p>
            <w:pPr>
              <w:widowControl/>
              <w:spacing w:before="100" w:beforeAutospacing="1" w:after="100" w:afterAutospacing="1"/>
              <w:ind w:left="0" w:leftChars="0" w:firstLine="0" w:firstLineChars="0"/>
              <w:jc w:val="center"/>
              <w:rPr>
                <w:rFonts w:ascii="Times New Roman" w:hAnsi="Times New Roman" w:eastAsia="仿宋_GB2312" w:cs="Times New Roman"/>
                <w:kern w:val="0"/>
                <w:sz w:val="24"/>
                <w:szCs w:val="24"/>
                <w:highlight w:val="none"/>
                <w:lang w:val="en-US" w:eastAsia="zh-CN" w:bidi="ar-SA"/>
              </w:rPr>
            </w:pPr>
            <w:r>
              <w:rPr>
                <w:rFonts w:ascii="Times New Roman" w:hAnsi="Times New Roman" w:eastAsia="仿宋_GB2312" w:cs="Times New Roman"/>
                <w:kern w:val="0"/>
                <w:sz w:val="24"/>
                <w:szCs w:val="24"/>
                <w:highlight w:val="none"/>
                <w:lang w:val="en-US" w:eastAsia="zh-CN" w:bidi="ar-SA"/>
              </w:rPr>
              <w:t>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0" w:hRule="atLeast"/>
          <w:jc w:val="center"/>
        </w:trPr>
        <w:tc>
          <w:tcPr>
            <w:tcW w:w="1713" w:type="pct"/>
            <w:vMerge w:val="continue"/>
            <w:shd w:val="clear" w:color="auto" w:fill="FFFFFF"/>
            <w:tcMar>
              <w:left w:w="108" w:type="dxa"/>
              <w:right w:w="108" w:type="dxa"/>
            </w:tcMar>
            <w:vAlign w:val="center"/>
          </w:tcPr>
          <w:p>
            <w:pPr>
              <w:spacing w:line="240" w:lineRule="auto"/>
              <w:ind w:firstLine="0" w:firstLineChars="0"/>
              <w:jc w:val="center"/>
              <w:rPr>
                <w:rFonts w:ascii="Times New Roman" w:hAnsi="Times New Roman" w:eastAsia="仿宋_GB2312" w:cs="Times New Roman"/>
                <w:sz w:val="21"/>
                <w:szCs w:val="22"/>
                <w:highlight w:val="none"/>
              </w:rPr>
            </w:pPr>
          </w:p>
        </w:tc>
        <w:tc>
          <w:tcPr>
            <w:tcW w:w="1381" w:type="pct"/>
            <w:shd w:val="clear" w:color="auto" w:fill="FFFFFF"/>
            <w:tcMar>
              <w:left w:w="108" w:type="dxa"/>
              <w:right w:w="108" w:type="dxa"/>
            </w:tcMar>
            <w:vAlign w:val="center"/>
          </w:tcPr>
          <w:p>
            <w:pPr>
              <w:widowControl/>
              <w:spacing w:before="100" w:beforeAutospacing="1" w:after="100" w:afterAutospacing="1"/>
              <w:ind w:left="0" w:leftChars="0" w:firstLine="0" w:firstLineChars="0"/>
              <w:jc w:val="center"/>
              <w:rPr>
                <w:rFonts w:ascii="Times New Roman" w:hAnsi="Times New Roman" w:eastAsia="仿宋_GB2312" w:cs="Times New Roman"/>
                <w:kern w:val="0"/>
                <w:sz w:val="24"/>
                <w:szCs w:val="24"/>
                <w:highlight w:val="none"/>
                <w:lang w:val="en-US" w:eastAsia="zh-CN" w:bidi="ar-SA"/>
              </w:rPr>
            </w:pPr>
            <w:r>
              <w:rPr>
                <w:rFonts w:ascii="Times New Roman" w:hAnsi="Times New Roman" w:eastAsia="仿宋_GB2312" w:cs="Times New Roman"/>
                <w:kern w:val="0"/>
                <w:sz w:val="24"/>
                <w:szCs w:val="24"/>
                <w:highlight w:val="none"/>
                <w:lang w:val="en-US" w:eastAsia="zh-CN" w:bidi="ar-SA"/>
              </w:rPr>
              <w:t>Ir</w:t>
            </w:r>
          </w:p>
        </w:tc>
        <w:tc>
          <w:tcPr>
            <w:tcW w:w="1905" w:type="pct"/>
            <w:shd w:val="clear" w:color="auto" w:fill="FFFFFF"/>
            <w:tcMar>
              <w:left w:w="108" w:type="dxa"/>
              <w:right w:w="108" w:type="dxa"/>
            </w:tcMar>
            <w:vAlign w:val="center"/>
          </w:tcPr>
          <w:p>
            <w:pPr>
              <w:widowControl/>
              <w:spacing w:before="100" w:beforeAutospacing="1" w:after="100" w:afterAutospacing="1"/>
              <w:ind w:left="0" w:leftChars="0" w:firstLine="0" w:firstLineChars="0"/>
              <w:jc w:val="center"/>
              <w:rPr>
                <w:rFonts w:ascii="Times New Roman" w:hAnsi="Times New Roman" w:eastAsia="仿宋_GB2312" w:cs="Times New Roman"/>
                <w:kern w:val="0"/>
                <w:sz w:val="24"/>
                <w:szCs w:val="24"/>
                <w:highlight w:val="none"/>
                <w:lang w:val="en-US" w:eastAsia="zh-CN" w:bidi="ar-SA"/>
              </w:rPr>
            </w:pPr>
            <w:r>
              <w:rPr>
                <w:rFonts w:ascii="Times New Roman" w:hAnsi="Times New Roman" w:eastAsia="仿宋_GB2312" w:cs="Times New Roman"/>
                <w:kern w:val="0"/>
                <w:sz w:val="24"/>
                <w:szCs w:val="24"/>
                <w:highlight w:val="none"/>
                <w:lang w:val="en-US" w:eastAsia="zh-CN" w:bidi="ar-SA"/>
              </w:rPr>
              <w:t>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0" w:hRule="atLeast"/>
          <w:jc w:val="center"/>
        </w:trPr>
        <w:tc>
          <w:tcPr>
            <w:tcW w:w="1713" w:type="pct"/>
            <w:vMerge w:val="continue"/>
            <w:shd w:val="clear" w:color="auto" w:fill="FFFFFF"/>
            <w:tcMar>
              <w:left w:w="108" w:type="dxa"/>
              <w:right w:w="108" w:type="dxa"/>
            </w:tcMar>
            <w:vAlign w:val="center"/>
          </w:tcPr>
          <w:p>
            <w:pPr>
              <w:spacing w:line="240" w:lineRule="auto"/>
              <w:ind w:firstLine="0" w:firstLineChars="0"/>
              <w:jc w:val="center"/>
              <w:rPr>
                <w:rFonts w:ascii="Times New Roman" w:hAnsi="Times New Roman" w:eastAsia="仿宋_GB2312" w:cs="Times New Roman"/>
                <w:sz w:val="21"/>
                <w:szCs w:val="22"/>
                <w:highlight w:val="none"/>
              </w:rPr>
            </w:pPr>
          </w:p>
        </w:tc>
        <w:tc>
          <w:tcPr>
            <w:tcW w:w="1381" w:type="pct"/>
            <w:shd w:val="clear" w:color="auto" w:fill="FFFFFF"/>
            <w:tcMar>
              <w:left w:w="108" w:type="dxa"/>
              <w:right w:w="108" w:type="dxa"/>
            </w:tcMar>
            <w:vAlign w:val="center"/>
          </w:tcPr>
          <w:p>
            <w:pPr>
              <w:widowControl/>
              <w:spacing w:before="100" w:beforeAutospacing="1" w:after="100" w:afterAutospacing="1"/>
              <w:ind w:left="0" w:leftChars="0" w:firstLine="0" w:firstLineChars="0"/>
              <w:jc w:val="center"/>
              <w:rPr>
                <w:rFonts w:ascii="Times New Roman" w:hAnsi="Times New Roman" w:eastAsia="仿宋_GB2312" w:cs="Times New Roman"/>
                <w:kern w:val="0"/>
                <w:sz w:val="24"/>
                <w:szCs w:val="24"/>
                <w:highlight w:val="none"/>
                <w:lang w:val="en-US" w:eastAsia="zh-CN" w:bidi="ar-SA"/>
              </w:rPr>
            </w:pPr>
            <w:r>
              <w:rPr>
                <w:rFonts w:ascii="Times New Roman" w:hAnsi="Times New Roman" w:eastAsia="仿宋_GB2312" w:cs="Times New Roman"/>
                <w:kern w:val="0"/>
                <w:sz w:val="24"/>
                <w:szCs w:val="24"/>
                <w:highlight w:val="none"/>
                <w:lang w:val="en-US" w:eastAsia="zh-CN" w:bidi="ar-SA"/>
              </w:rPr>
              <w:t>Ru</w:t>
            </w:r>
          </w:p>
        </w:tc>
        <w:tc>
          <w:tcPr>
            <w:tcW w:w="1905" w:type="pct"/>
            <w:shd w:val="clear" w:color="auto" w:fill="FFFFFF"/>
            <w:tcMar>
              <w:left w:w="108" w:type="dxa"/>
              <w:right w:w="108" w:type="dxa"/>
            </w:tcMar>
            <w:vAlign w:val="center"/>
          </w:tcPr>
          <w:p>
            <w:pPr>
              <w:widowControl/>
              <w:spacing w:before="100" w:beforeAutospacing="1" w:after="100" w:afterAutospacing="1"/>
              <w:ind w:left="0" w:leftChars="0" w:firstLine="0" w:firstLineChars="0"/>
              <w:jc w:val="center"/>
              <w:rPr>
                <w:rFonts w:ascii="Times New Roman" w:hAnsi="Times New Roman" w:eastAsia="仿宋_GB2312" w:cs="Times New Roman"/>
                <w:kern w:val="0"/>
                <w:sz w:val="24"/>
                <w:szCs w:val="24"/>
                <w:highlight w:val="none"/>
                <w:lang w:val="en-US" w:eastAsia="zh-CN" w:bidi="ar-SA"/>
              </w:rPr>
            </w:pPr>
            <w:r>
              <w:rPr>
                <w:rFonts w:ascii="Times New Roman" w:hAnsi="Times New Roman" w:eastAsia="仿宋_GB2312" w:cs="Times New Roman"/>
                <w:kern w:val="0"/>
                <w:sz w:val="24"/>
                <w:szCs w:val="24"/>
                <w:highlight w:val="none"/>
                <w:lang w:val="en-US" w:eastAsia="zh-CN" w:bidi="ar-SA"/>
              </w:rPr>
              <w:t>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0" w:hRule="atLeast"/>
          <w:jc w:val="center"/>
        </w:trPr>
        <w:tc>
          <w:tcPr>
            <w:tcW w:w="1713" w:type="pct"/>
            <w:vMerge w:val="continue"/>
            <w:shd w:val="clear" w:color="auto" w:fill="FFFFFF"/>
            <w:tcMar>
              <w:left w:w="108" w:type="dxa"/>
              <w:right w:w="108" w:type="dxa"/>
            </w:tcMar>
            <w:vAlign w:val="center"/>
          </w:tcPr>
          <w:p>
            <w:pPr>
              <w:spacing w:line="240" w:lineRule="auto"/>
              <w:ind w:firstLine="0" w:firstLineChars="0"/>
              <w:jc w:val="center"/>
              <w:rPr>
                <w:rFonts w:ascii="Times New Roman" w:hAnsi="Times New Roman" w:eastAsia="仿宋_GB2312" w:cs="Times New Roman"/>
                <w:sz w:val="21"/>
                <w:szCs w:val="22"/>
                <w:highlight w:val="none"/>
              </w:rPr>
            </w:pPr>
          </w:p>
        </w:tc>
        <w:tc>
          <w:tcPr>
            <w:tcW w:w="1381" w:type="pct"/>
            <w:shd w:val="clear" w:color="auto" w:fill="FFFFFF"/>
            <w:tcMar>
              <w:left w:w="108" w:type="dxa"/>
              <w:right w:w="108" w:type="dxa"/>
            </w:tcMar>
            <w:vAlign w:val="center"/>
          </w:tcPr>
          <w:p>
            <w:pPr>
              <w:widowControl/>
              <w:spacing w:before="100" w:beforeAutospacing="1" w:after="100" w:afterAutospacing="1"/>
              <w:ind w:left="0" w:leftChars="0" w:firstLine="0" w:firstLineChars="0"/>
              <w:jc w:val="center"/>
              <w:rPr>
                <w:rFonts w:ascii="Times New Roman" w:hAnsi="Times New Roman" w:eastAsia="仿宋_GB2312" w:cs="Times New Roman"/>
                <w:kern w:val="0"/>
                <w:sz w:val="24"/>
                <w:szCs w:val="24"/>
                <w:highlight w:val="none"/>
                <w:lang w:val="en-US" w:eastAsia="zh-CN" w:bidi="ar-SA"/>
              </w:rPr>
            </w:pPr>
            <w:r>
              <w:rPr>
                <w:rFonts w:ascii="Times New Roman" w:hAnsi="Times New Roman" w:eastAsia="仿宋_GB2312" w:cs="Times New Roman"/>
                <w:kern w:val="0"/>
                <w:sz w:val="24"/>
                <w:szCs w:val="24"/>
                <w:highlight w:val="none"/>
                <w:lang w:val="en-US" w:eastAsia="zh-CN" w:bidi="ar-SA"/>
              </w:rPr>
              <w:t>Au</w:t>
            </w:r>
          </w:p>
        </w:tc>
        <w:tc>
          <w:tcPr>
            <w:tcW w:w="1905" w:type="pct"/>
            <w:shd w:val="clear" w:color="auto" w:fill="FFFFFF"/>
            <w:tcMar>
              <w:left w:w="108" w:type="dxa"/>
              <w:right w:w="108" w:type="dxa"/>
            </w:tcMar>
            <w:vAlign w:val="center"/>
          </w:tcPr>
          <w:p>
            <w:pPr>
              <w:widowControl/>
              <w:spacing w:before="100" w:beforeAutospacing="1" w:after="100" w:afterAutospacing="1"/>
              <w:ind w:left="0" w:leftChars="0" w:firstLine="0" w:firstLineChars="0"/>
              <w:jc w:val="center"/>
              <w:rPr>
                <w:rFonts w:ascii="Times New Roman" w:hAnsi="Times New Roman" w:eastAsia="仿宋_GB2312" w:cs="Times New Roman"/>
                <w:kern w:val="0"/>
                <w:sz w:val="24"/>
                <w:szCs w:val="24"/>
                <w:highlight w:val="none"/>
                <w:lang w:val="en-US" w:eastAsia="zh-CN" w:bidi="ar-SA"/>
              </w:rPr>
            </w:pPr>
            <w:r>
              <w:rPr>
                <w:rFonts w:ascii="Times New Roman" w:hAnsi="Times New Roman" w:eastAsia="仿宋_GB2312" w:cs="Times New Roman"/>
                <w:kern w:val="0"/>
                <w:sz w:val="24"/>
                <w:szCs w:val="24"/>
                <w:highlight w:val="none"/>
                <w:lang w:val="en-US" w:eastAsia="zh-CN" w:bidi="ar-SA"/>
              </w:rPr>
              <w:t>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0" w:hRule="atLeast"/>
          <w:jc w:val="center"/>
        </w:trPr>
        <w:tc>
          <w:tcPr>
            <w:tcW w:w="1713" w:type="pct"/>
            <w:vMerge w:val="continue"/>
            <w:shd w:val="clear" w:color="auto" w:fill="FFFFFF"/>
            <w:tcMar>
              <w:left w:w="108" w:type="dxa"/>
              <w:right w:w="108" w:type="dxa"/>
            </w:tcMar>
            <w:vAlign w:val="center"/>
          </w:tcPr>
          <w:p>
            <w:pPr>
              <w:spacing w:line="240" w:lineRule="auto"/>
              <w:ind w:firstLine="0" w:firstLineChars="0"/>
              <w:jc w:val="center"/>
              <w:rPr>
                <w:rFonts w:ascii="Times New Roman" w:hAnsi="Times New Roman" w:eastAsia="仿宋_GB2312" w:cs="Times New Roman"/>
                <w:sz w:val="21"/>
                <w:szCs w:val="22"/>
                <w:highlight w:val="none"/>
              </w:rPr>
            </w:pPr>
          </w:p>
        </w:tc>
        <w:tc>
          <w:tcPr>
            <w:tcW w:w="1381" w:type="pct"/>
            <w:shd w:val="clear" w:color="auto" w:fill="FFFFFF"/>
            <w:tcMar>
              <w:left w:w="108" w:type="dxa"/>
              <w:right w:w="108" w:type="dxa"/>
            </w:tcMar>
            <w:vAlign w:val="center"/>
          </w:tcPr>
          <w:p>
            <w:pPr>
              <w:widowControl/>
              <w:spacing w:before="100" w:beforeAutospacing="1" w:after="100" w:afterAutospacing="1"/>
              <w:ind w:left="0" w:leftChars="0" w:firstLine="0" w:firstLineChars="0"/>
              <w:jc w:val="center"/>
              <w:rPr>
                <w:rFonts w:ascii="Times New Roman" w:hAnsi="Times New Roman" w:eastAsia="仿宋_GB2312" w:cs="Times New Roman"/>
                <w:kern w:val="0"/>
                <w:sz w:val="24"/>
                <w:szCs w:val="24"/>
                <w:highlight w:val="none"/>
                <w:lang w:val="en-US" w:eastAsia="zh-CN" w:bidi="ar-SA"/>
              </w:rPr>
            </w:pPr>
            <w:r>
              <w:rPr>
                <w:rFonts w:ascii="Times New Roman" w:hAnsi="Times New Roman" w:eastAsia="仿宋_GB2312" w:cs="Times New Roman"/>
                <w:kern w:val="0"/>
                <w:sz w:val="24"/>
                <w:szCs w:val="24"/>
                <w:highlight w:val="none"/>
                <w:lang w:val="en-US" w:eastAsia="zh-CN" w:bidi="ar-SA"/>
              </w:rPr>
              <w:t>Ag</w:t>
            </w:r>
          </w:p>
        </w:tc>
        <w:tc>
          <w:tcPr>
            <w:tcW w:w="1905" w:type="pct"/>
            <w:shd w:val="clear" w:color="auto" w:fill="FFFFFF"/>
            <w:tcMar>
              <w:left w:w="108" w:type="dxa"/>
              <w:right w:w="108" w:type="dxa"/>
            </w:tcMar>
            <w:vAlign w:val="center"/>
          </w:tcPr>
          <w:p>
            <w:pPr>
              <w:widowControl/>
              <w:spacing w:before="100" w:beforeAutospacing="1" w:after="100" w:afterAutospacing="1"/>
              <w:ind w:left="0" w:leftChars="0" w:firstLine="0" w:firstLineChars="0"/>
              <w:jc w:val="center"/>
              <w:rPr>
                <w:rFonts w:ascii="Times New Roman" w:hAnsi="Times New Roman" w:eastAsia="仿宋_GB2312" w:cs="Times New Roman"/>
                <w:kern w:val="0"/>
                <w:sz w:val="24"/>
                <w:szCs w:val="24"/>
                <w:highlight w:val="none"/>
                <w:lang w:val="en-US" w:eastAsia="zh-CN" w:bidi="ar-SA"/>
              </w:rPr>
            </w:pPr>
            <w:r>
              <w:rPr>
                <w:rFonts w:ascii="Times New Roman" w:hAnsi="Times New Roman" w:eastAsia="仿宋_GB2312" w:cs="Times New Roman"/>
                <w:kern w:val="0"/>
                <w:sz w:val="24"/>
                <w:szCs w:val="24"/>
                <w:highlight w:val="none"/>
                <w:lang w:val="en-US" w:eastAsia="zh-CN" w:bidi="ar-SA"/>
              </w:rPr>
              <w:t>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0" w:hRule="atLeast"/>
          <w:jc w:val="center"/>
        </w:trPr>
        <w:tc>
          <w:tcPr>
            <w:tcW w:w="1713" w:type="pct"/>
            <w:vMerge w:val="continue"/>
            <w:shd w:val="clear" w:color="auto" w:fill="FFFFFF"/>
            <w:tcMar>
              <w:left w:w="108" w:type="dxa"/>
              <w:right w:w="108" w:type="dxa"/>
            </w:tcMar>
            <w:vAlign w:val="center"/>
          </w:tcPr>
          <w:p>
            <w:pPr>
              <w:spacing w:line="240" w:lineRule="auto"/>
              <w:ind w:firstLine="0" w:firstLineChars="0"/>
              <w:jc w:val="center"/>
              <w:rPr>
                <w:rFonts w:ascii="Times New Roman" w:hAnsi="Times New Roman" w:eastAsia="仿宋_GB2312" w:cs="Times New Roman"/>
                <w:sz w:val="21"/>
                <w:szCs w:val="22"/>
                <w:highlight w:val="none"/>
              </w:rPr>
            </w:pPr>
          </w:p>
        </w:tc>
        <w:tc>
          <w:tcPr>
            <w:tcW w:w="1381" w:type="pct"/>
            <w:shd w:val="clear" w:color="auto" w:fill="FFFFFF"/>
            <w:tcMar>
              <w:left w:w="108" w:type="dxa"/>
              <w:right w:w="108" w:type="dxa"/>
            </w:tcMar>
            <w:vAlign w:val="center"/>
          </w:tcPr>
          <w:p>
            <w:pPr>
              <w:widowControl/>
              <w:spacing w:before="100" w:beforeAutospacing="1" w:after="100" w:afterAutospacing="1"/>
              <w:ind w:left="0" w:leftChars="0" w:firstLine="0" w:firstLineChars="0"/>
              <w:jc w:val="center"/>
              <w:rPr>
                <w:rFonts w:ascii="Times New Roman" w:hAnsi="Times New Roman" w:eastAsia="仿宋_GB2312" w:cs="Times New Roman"/>
                <w:kern w:val="0"/>
                <w:sz w:val="24"/>
                <w:szCs w:val="24"/>
                <w:highlight w:val="none"/>
                <w:lang w:val="en-US" w:eastAsia="zh-CN" w:bidi="ar-SA"/>
              </w:rPr>
            </w:pPr>
            <w:r>
              <w:rPr>
                <w:rFonts w:ascii="Times New Roman" w:hAnsi="Times New Roman" w:eastAsia="仿宋_GB2312" w:cs="Times New Roman"/>
                <w:kern w:val="0"/>
                <w:sz w:val="24"/>
                <w:szCs w:val="24"/>
                <w:highlight w:val="none"/>
                <w:lang w:val="en-US" w:eastAsia="zh-CN" w:bidi="ar-SA"/>
              </w:rPr>
              <w:t>Cu</w:t>
            </w:r>
          </w:p>
        </w:tc>
        <w:tc>
          <w:tcPr>
            <w:tcW w:w="1905" w:type="pct"/>
            <w:shd w:val="clear" w:color="auto" w:fill="FFFFFF"/>
            <w:tcMar>
              <w:left w:w="108" w:type="dxa"/>
              <w:right w:w="108" w:type="dxa"/>
            </w:tcMar>
            <w:vAlign w:val="center"/>
          </w:tcPr>
          <w:p>
            <w:pPr>
              <w:widowControl/>
              <w:spacing w:before="100" w:beforeAutospacing="1" w:after="100" w:afterAutospacing="1"/>
              <w:ind w:left="0" w:leftChars="0" w:firstLine="0" w:firstLineChars="0"/>
              <w:jc w:val="center"/>
              <w:rPr>
                <w:rFonts w:ascii="Times New Roman" w:hAnsi="Times New Roman" w:eastAsia="仿宋_GB2312" w:cs="Times New Roman"/>
                <w:kern w:val="0"/>
                <w:sz w:val="24"/>
                <w:szCs w:val="24"/>
                <w:highlight w:val="none"/>
                <w:lang w:val="en-US" w:eastAsia="zh-CN" w:bidi="ar-SA"/>
              </w:rPr>
            </w:pPr>
            <w:r>
              <w:rPr>
                <w:rFonts w:ascii="Times New Roman" w:hAnsi="Times New Roman" w:eastAsia="仿宋_GB2312" w:cs="Times New Roman"/>
                <w:kern w:val="0"/>
                <w:sz w:val="24"/>
                <w:szCs w:val="24"/>
                <w:highlight w:val="none"/>
                <w:lang w:val="en-US" w:eastAsia="zh-CN" w:bidi="ar-SA"/>
              </w:rPr>
              <w:t>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0" w:hRule="atLeast"/>
          <w:jc w:val="center"/>
        </w:trPr>
        <w:tc>
          <w:tcPr>
            <w:tcW w:w="1713" w:type="pct"/>
            <w:vMerge w:val="continue"/>
            <w:shd w:val="clear" w:color="auto" w:fill="FFFFFF"/>
            <w:tcMar>
              <w:left w:w="108" w:type="dxa"/>
              <w:right w:w="108" w:type="dxa"/>
            </w:tcMar>
            <w:vAlign w:val="center"/>
          </w:tcPr>
          <w:p>
            <w:pPr>
              <w:spacing w:line="240" w:lineRule="auto"/>
              <w:ind w:firstLine="0" w:firstLineChars="0"/>
              <w:jc w:val="center"/>
              <w:rPr>
                <w:rFonts w:ascii="Times New Roman" w:hAnsi="Times New Roman" w:eastAsia="仿宋_GB2312" w:cs="Times New Roman"/>
                <w:sz w:val="21"/>
                <w:szCs w:val="22"/>
                <w:highlight w:val="none"/>
              </w:rPr>
            </w:pPr>
          </w:p>
        </w:tc>
        <w:tc>
          <w:tcPr>
            <w:tcW w:w="1381" w:type="pct"/>
            <w:shd w:val="clear" w:color="auto" w:fill="FFFFFF"/>
            <w:tcMar>
              <w:left w:w="108" w:type="dxa"/>
              <w:right w:w="108" w:type="dxa"/>
            </w:tcMar>
            <w:vAlign w:val="center"/>
          </w:tcPr>
          <w:p>
            <w:pPr>
              <w:widowControl/>
              <w:spacing w:before="100" w:beforeAutospacing="1" w:after="100" w:afterAutospacing="1"/>
              <w:ind w:left="0" w:leftChars="0" w:firstLine="0" w:firstLineChars="0"/>
              <w:jc w:val="center"/>
              <w:rPr>
                <w:rFonts w:ascii="Times New Roman" w:hAnsi="Times New Roman" w:eastAsia="仿宋_GB2312" w:cs="Times New Roman"/>
                <w:kern w:val="0"/>
                <w:sz w:val="24"/>
                <w:szCs w:val="24"/>
                <w:highlight w:val="none"/>
                <w:lang w:val="en-US" w:eastAsia="zh-CN" w:bidi="ar-SA"/>
              </w:rPr>
            </w:pPr>
            <w:r>
              <w:rPr>
                <w:rFonts w:ascii="Times New Roman" w:hAnsi="Times New Roman" w:eastAsia="仿宋_GB2312" w:cs="Times New Roman"/>
                <w:kern w:val="0"/>
                <w:sz w:val="24"/>
                <w:szCs w:val="24"/>
                <w:highlight w:val="none"/>
                <w:lang w:val="en-US" w:eastAsia="zh-CN" w:bidi="ar-SA"/>
              </w:rPr>
              <w:t>Fe</w:t>
            </w:r>
          </w:p>
        </w:tc>
        <w:tc>
          <w:tcPr>
            <w:tcW w:w="1905" w:type="pct"/>
            <w:shd w:val="clear" w:color="auto" w:fill="FFFFFF"/>
            <w:tcMar>
              <w:left w:w="108" w:type="dxa"/>
              <w:right w:w="108" w:type="dxa"/>
            </w:tcMar>
            <w:vAlign w:val="center"/>
          </w:tcPr>
          <w:p>
            <w:pPr>
              <w:widowControl/>
              <w:spacing w:before="100" w:beforeAutospacing="1" w:after="100" w:afterAutospacing="1"/>
              <w:ind w:left="0" w:leftChars="0" w:firstLine="0" w:firstLineChars="0"/>
              <w:jc w:val="center"/>
              <w:rPr>
                <w:rFonts w:ascii="Times New Roman" w:hAnsi="Times New Roman" w:eastAsia="仿宋_GB2312" w:cs="Times New Roman"/>
                <w:kern w:val="0"/>
                <w:sz w:val="24"/>
                <w:szCs w:val="24"/>
                <w:highlight w:val="none"/>
                <w:lang w:val="en-US" w:eastAsia="zh-CN" w:bidi="ar-SA"/>
              </w:rPr>
            </w:pPr>
            <w:r>
              <w:rPr>
                <w:rFonts w:ascii="Times New Roman" w:hAnsi="Times New Roman" w:eastAsia="仿宋_GB2312" w:cs="Times New Roman"/>
                <w:kern w:val="0"/>
                <w:sz w:val="24"/>
                <w:szCs w:val="24"/>
                <w:highlight w:val="none"/>
                <w:lang w:val="en-US" w:eastAsia="zh-CN" w:bidi="ar-SA"/>
              </w:rPr>
              <w:t>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0" w:hRule="atLeast"/>
          <w:jc w:val="center"/>
        </w:trPr>
        <w:tc>
          <w:tcPr>
            <w:tcW w:w="1713" w:type="pct"/>
            <w:vMerge w:val="continue"/>
            <w:shd w:val="clear" w:color="auto" w:fill="FFFFFF"/>
            <w:tcMar>
              <w:left w:w="108" w:type="dxa"/>
              <w:right w:w="108" w:type="dxa"/>
            </w:tcMar>
            <w:vAlign w:val="center"/>
          </w:tcPr>
          <w:p>
            <w:pPr>
              <w:spacing w:line="240" w:lineRule="auto"/>
              <w:ind w:firstLine="0" w:firstLineChars="0"/>
              <w:jc w:val="center"/>
              <w:rPr>
                <w:rFonts w:ascii="Times New Roman" w:hAnsi="Times New Roman" w:eastAsia="仿宋_GB2312" w:cs="Times New Roman"/>
                <w:sz w:val="21"/>
                <w:szCs w:val="22"/>
                <w:highlight w:val="none"/>
              </w:rPr>
            </w:pPr>
          </w:p>
        </w:tc>
        <w:tc>
          <w:tcPr>
            <w:tcW w:w="1381" w:type="pct"/>
            <w:shd w:val="clear" w:color="auto" w:fill="FFFFFF"/>
            <w:tcMar>
              <w:left w:w="108" w:type="dxa"/>
              <w:right w:w="108" w:type="dxa"/>
            </w:tcMar>
            <w:vAlign w:val="center"/>
          </w:tcPr>
          <w:p>
            <w:pPr>
              <w:widowControl/>
              <w:spacing w:before="100" w:beforeAutospacing="1" w:after="100" w:afterAutospacing="1"/>
              <w:ind w:left="0" w:leftChars="0" w:firstLine="0" w:firstLineChars="0"/>
              <w:jc w:val="center"/>
              <w:rPr>
                <w:rFonts w:ascii="Times New Roman" w:hAnsi="Times New Roman" w:eastAsia="仿宋_GB2312" w:cs="Times New Roman"/>
                <w:kern w:val="0"/>
                <w:sz w:val="24"/>
                <w:szCs w:val="24"/>
                <w:highlight w:val="none"/>
                <w:lang w:val="en-US" w:eastAsia="zh-CN" w:bidi="ar-SA"/>
              </w:rPr>
            </w:pPr>
            <w:r>
              <w:rPr>
                <w:rFonts w:ascii="Times New Roman" w:hAnsi="Times New Roman" w:eastAsia="仿宋_GB2312" w:cs="Times New Roman"/>
                <w:kern w:val="0"/>
                <w:sz w:val="24"/>
                <w:szCs w:val="24"/>
                <w:highlight w:val="none"/>
                <w:lang w:val="en-US" w:eastAsia="zh-CN" w:bidi="ar-SA"/>
              </w:rPr>
              <w:t>Ni</w:t>
            </w:r>
          </w:p>
        </w:tc>
        <w:tc>
          <w:tcPr>
            <w:tcW w:w="1905" w:type="pct"/>
            <w:shd w:val="clear" w:color="auto" w:fill="FFFFFF"/>
            <w:tcMar>
              <w:left w:w="108" w:type="dxa"/>
              <w:right w:w="108" w:type="dxa"/>
            </w:tcMar>
            <w:vAlign w:val="center"/>
          </w:tcPr>
          <w:p>
            <w:pPr>
              <w:widowControl/>
              <w:spacing w:before="100" w:beforeAutospacing="1" w:after="100" w:afterAutospacing="1"/>
              <w:ind w:left="0" w:leftChars="0" w:firstLine="0" w:firstLineChars="0"/>
              <w:jc w:val="center"/>
              <w:rPr>
                <w:rFonts w:ascii="Times New Roman" w:hAnsi="Times New Roman" w:eastAsia="仿宋_GB2312" w:cs="Times New Roman"/>
                <w:kern w:val="0"/>
                <w:sz w:val="24"/>
                <w:szCs w:val="24"/>
                <w:highlight w:val="none"/>
                <w:lang w:val="en-US" w:eastAsia="zh-CN" w:bidi="ar-SA"/>
              </w:rPr>
            </w:pPr>
            <w:r>
              <w:rPr>
                <w:rFonts w:ascii="Times New Roman" w:hAnsi="Times New Roman" w:eastAsia="仿宋_GB2312" w:cs="Times New Roman"/>
                <w:kern w:val="0"/>
                <w:sz w:val="24"/>
                <w:szCs w:val="24"/>
                <w:highlight w:val="none"/>
                <w:lang w:val="en-US" w:eastAsia="zh-CN" w:bidi="ar-SA"/>
              </w:rPr>
              <w:t>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0" w:hRule="atLeast"/>
          <w:jc w:val="center"/>
        </w:trPr>
        <w:tc>
          <w:tcPr>
            <w:tcW w:w="1713" w:type="pct"/>
            <w:vMerge w:val="continue"/>
            <w:shd w:val="clear" w:color="auto" w:fill="FFFFFF"/>
            <w:tcMar>
              <w:left w:w="108" w:type="dxa"/>
              <w:right w:w="108" w:type="dxa"/>
            </w:tcMar>
            <w:vAlign w:val="center"/>
          </w:tcPr>
          <w:p>
            <w:pPr>
              <w:spacing w:line="240" w:lineRule="auto"/>
              <w:ind w:firstLine="0" w:firstLineChars="0"/>
              <w:jc w:val="center"/>
              <w:rPr>
                <w:rFonts w:ascii="Times New Roman" w:hAnsi="Times New Roman" w:eastAsia="仿宋_GB2312" w:cs="Times New Roman"/>
                <w:sz w:val="21"/>
                <w:szCs w:val="22"/>
                <w:highlight w:val="none"/>
              </w:rPr>
            </w:pPr>
          </w:p>
        </w:tc>
        <w:tc>
          <w:tcPr>
            <w:tcW w:w="1381" w:type="pct"/>
            <w:shd w:val="clear" w:color="auto" w:fill="FFFFFF"/>
            <w:tcMar>
              <w:left w:w="108" w:type="dxa"/>
              <w:right w:w="108" w:type="dxa"/>
            </w:tcMar>
            <w:vAlign w:val="center"/>
          </w:tcPr>
          <w:p>
            <w:pPr>
              <w:widowControl/>
              <w:spacing w:before="100" w:beforeAutospacing="1" w:after="100" w:afterAutospacing="1"/>
              <w:ind w:left="0" w:leftChars="0" w:firstLine="0" w:firstLineChars="0"/>
              <w:jc w:val="center"/>
              <w:rPr>
                <w:rFonts w:ascii="Times New Roman" w:hAnsi="Times New Roman" w:eastAsia="仿宋_GB2312" w:cs="Times New Roman"/>
                <w:kern w:val="0"/>
                <w:sz w:val="24"/>
                <w:szCs w:val="24"/>
                <w:highlight w:val="none"/>
                <w:lang w:val="en-US" w:eastAsia="zh-CN" w:bidi="ar-SA"/>
              </w:rPr>
            </w:pPr>
            <w:r>
              <w:rPr>
                <w:rFonts w:ascii="Times New Roman" w:hAnsi="Times New Roman" w:eastAsia="仿宋_GB2312" w:cs="Times New Roman"/>
                <w:kern w:val="0"/>
                <w:sz w:val="24"/>
                <w:szCs w:val="24"/>
                <w:highlight w:val="none"/>
                <w:lang w:val="en-US" w:eastAsia="zh-CN" w:bidi="ar-SA"/>
              </w:rPr>
              <w:t>Al</w:t>
            </w:r>
          </w:p>
        </w:tc>
        <w:tc>
          <w:tcPr>
            <w:tcW w:w="1905" w:type="pct"/>
            <w:shd w:val="clear" w:color="auto" w:fill="FFFFFF"/>
            <w:tcMar>
              <w:left w:w="108" w:type="dxa"/>
              <w:right w:w="108" w:type="dxa"/>
            </w:tcMar>
            <w:vAlign w:val="center"/>
          </w:tcPr>
          <w:p>
            <w:pPr>
              <w:widowControl/>
              <w:spacing w:before="100" w:beforeAutospacing="1" w:after="100" w:afterAutospacing="1"/>
              <w:ind w:left="0" w:leftChars="0" w:firstLine="0" w:firstLineChars="0"/>
              <w:jc w:val="center"/>
              <w:rPr>
                <w:rFonts w:ascii="Times New Roman" w:hAnsi="Times New Roman" w:eastAsia="仿宋_GB2312" w:cs="Times New Roman"/>
                <w:kern w:val="0"/>
                <w:sz w:val="24"/>
                <w:szCs w:val="24"/>
                <w:highlight w:val="none"/>
                <w:lang w:val="en-US" w:eastAsia="zh-CN" w:bidi="ar-SA"/>
              </w:rPr>
            </w:pPr>
            <w:r>
              <w:rPr>
                <w:rFonts w:ascii="Times New Roman" w:hAnsi="Times New Roman" w:eastAsia="仿宋_GB2312" w:cs="Times New Roman"/>
                <w:kern w:val="0"/>
                <w:sz w:val="24"/>
                <w:szCs w:val="24"/>
                <w:highlight w:val="none"/>
                <w:lang w:val="en-US" w:eastAsia="zh-CN" w:bidi="ar-SA"/>
              </w:rPr>
              <w:t>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0" w:hRule="atLeast"/>
          <w:jc w:val="center"/>
        </w:trPr>
        <w:tc>
          <w:tcPr>
            <w:tcW w:w="1713" w:type="pct"/>
            <w:vMerge w:val="continue"/>
            <w:shd w:val="clear" w:color="auto" w:fill="FFFFFF"/>
            <w:tcMar>
              <w:left w:w="108" w:type="dxa"/>
              <w:right w:w="108" w:type="dxa"/>
            </w:tcMar>
            <w:vAlign w:val="center"/>
          </w:tcPr>
          <w:p>
            <w:pPr>
              <w:spacing w:line="240" w:lineRule="auto"/>
              <w:ind w:firstLine="0" w:firstLineChars="0"/>
              <w:jc w:val="center"/>
              <w:rPr>
                <w:rFonts w:ascii="Times New Roman" w:hAnsi="Times New Roman" w:eastAsia="仿宋_GB2312" w:cs="Times New Roman"/>
                <w:sz w:val="21"/>
                <w:szCs w:val="22"/>
                <w:highlight w:val="none"/>
              </w:rPr>
            </w:pPr>
          </w:p>
        </w:tc>
        <w:tc>
          <w:tcPr>
            <w:tcW w:w="1381" w:type="pct"/>
            <w:shd w:val="clear" w:color="auto" w:fill="FFFFFF"/>
            <w:tcMar>
              <w:left w:w="108" w:type="dxa"/>
              <w:right w:w="108" w:type="dxa"/>
            </w:tcMar>
            <w:vAlign w:val="center"/>
          </w:tcPr>
          <w:p>
            <w:pPr>
              <w:widowControl/>
              <w:spacing w:before="100" w:beforeAutospacing="1" w:after="100" w:afterAutospacing="1"/>
              <w:ind w:left="0" w:leftChars="0" w:firstLine="0" w:firstLineChars="0"/>
              <w:jc w:val="center"/>
              <w:rPr>
                <w:rFonts w:ascii="Times New Roman" w:hAnsi="Times New Roman" w:eastAsia="仿宋_GB2312" w:cs="Times New Roman"/>
                <w:kern w:val="0"/>
                <w:sz w:val="24"/>
                <w:szCs w:val="24"/>
                <w:highlight w:val="none"/>
                <w:lang w:val="en-US" w:eastAsia="zh-CN" w:bidi="ar-SA"/>
              </w:rPr>
            </w:pPr>
            <w:r>
              <w:rPr>
                <w:rFonts w:ascii="Times New Roman" w:hAnsi="Times New Roman" w:eastAsia="仿宋_GB2312" w:cs="Times New Roman"/>
                <w:kern w:val="0"/>
                <w:sz w:val="24"/>
                <w:szCs w:val="24"/>
                <w:highlight w:val="none"/>
                <w:lang w:val="en-US" w:eastAsia="zh-CN" w:bidi="ar-SA"/>
              </w:rPr>
              <w:t>Pb</w:t>
            </w:r>
          </w:p>
        </w:tc>
        <w:tc>
          <w:tcPr>
            <w:tcW w:w="1905" w:type="pct"/>
            <w:shd w:val="clear" w:color="auto" w:fill="FFFFFF"/>
            <w:tcMar>
              <w:left w:w="108" w:type="dxa"/>
              <w:right w:w="108" w:type="dxa"/>
            </w:tcMar>
            <w:vAlign w:val="center"/>
          </w:tcPr>
          <w:p>
            <w:pPr>
              <w:widowControl/>
              <w:spacing w:before="100" w:beforeAutospacing="1" w:after="100" w:afterAutospacing="1"/>
              <w:ind w:left="0" w:leftChars="0" w:firstLine="0" w:firstLineChars="0"/>
              <w:jc w:val="center"/>
              <w:rPr>
                <w:rFonts w:ascii="Times New Roman" w:hAnsi="Times New Roman" w:eastAsia="仿宋_GB2312" w:cs="Times New Roman"/>
                <w:kern w:val="0"/>
                <w:sz w:val="24"/>
                <w:szCs w:val="24"/>
                <w:highlight w:val="none"/>
                <w:lang w:val="en-US" w:eastAsia="zh-CN" w:bidi="ar-SA"/>
              </w:rPr>
            </w:pPr>
            <w:r>
              <w:rPr>
                <w:rFonts w:ascii="Times New Roman" w:hAnsi="Times New Roman" w:eastAsia="仿宋_GB2312" w:cs="Times New Roman"/>
                <w:kern w:val="0"/>
                <w:sz w:val="24"/>
                <w:szCs w:val="24"/>
                <w:highlight w:val="none"/>
                <w:lang w:val="en-US" w:eastAsia="zh-CN" w:bidi="ar-SA"/>
              </w:rPr>
              <w:t>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0" w:hRule="atLeast"/>
          <w:jc w:val="center"/>
        </w:trPr>
        <w:tc>
          <w:tcPr>
            <w:tcW w:w="1713" w:type="pct"/>
            <w:vMerge w:val="continue"/>
            <w:shd w:val="clear" w:color="auto" w:fill="FFFFFF"/>
            <w:tcMar>
              <w:left w:w="108" w:type="dxa"/>
              <w:right w:w="108" w:type="dxa"/>
            </w:tcMar>
            <w:vAlign w:val="center"/>
          </w:tcPr>
          <w:p>
            <w:pPr>
              <w:spacing w:line="240" w:lineRule="auto"/>
              <w:ind w:firstLine="0" w:firstLineChars="0"/>
              <w:jc w:val="center"/>
              <w:rPr>
                <w:rFonts w:ascii="Times New Roman" w:hAnsi="Times New Roman" w:eastAsia="仿宋_GB2312" w:cs="Times New Roman"/>
                <w:sz w:val="21"/>
                <w:szCs w:val="22"/>
                <w:highlight w:val="none"/>
              </w:rPr>
            </w:pPr>
          </w:p>
        </w:tc>
        <w:tc>
          <w:tcPr>
            <w:tcW w:w="1381" w:type="pct"/>
            <w:shd w:val="clear" w:color="auto" w:fill="FFFFFF"/>
            <w:tcMar>
              <w:left w:w="108" w:type="dxa"/>
              <w:right w:w="108" w:type="dxa"/>
            </w:tcMar>
            <w:vAlign w:val="center"/>
          </w:tcPr>
          <w:p>
            <w:pPr>
              <w:widowControl/>
              <w:spacing w:before="100" w:beforeAutospacing="1" w:after="100" w:afterAutospacing="1"/>
              <w:ind w:left="0" w:leftChars="0" w:firstLine="0" w:firstLineChars="0"/>
              <w:jc w:val="center"/>
              <w:rPr>
                <w:rFonts w:ascii="Times New Roman" w:hAnsi="Times New Roman" w:eastAsia="仿宋_GB2312" w:cs="Times New Roman"/>
                <w:kern w:val="0"/>
                <w:sz w:val="24"/>
                <w:szCs w:val="24"/>
                <w:highlight w:val="none"/>
                <w:lang w:val="en-US" w:eastAsia="zh-CN" w:bidi="ar-SA"/>
              </w:rPr>
            </w:pPr>
            <w:r>
              <w:rPr>
                <w:rFonts w:ascii="Times New Roman" w:hAnsi="Times New Roman" w:eastAsia="仿宋_GB2312" w:cs="Times New Roman"/>
                <w:kern w:val="0"/>
                <w:sz w:val="24"/>
                <w:szCs w:val="24"/>
                <w:highlight w:val="none"/>
                <w:lang w:val="en-US" w:eastAsia="zh-CN" w:bidi="ar-SA"/>
              </w:rPr>
              <w:t>Mn</w:t>
            </w:r>
          </w:p>
        </w:tc>
        <w:tc>
          <w:tcPr>
            <w:tcW w:w="1905" w:type="pct"/>
            <w:shd w:val="clear" w:color="auto" w:fill="FFFFFF"/>
            <w:tcMar>
              <w:left w:w="108" w:type="dxa"/>
              <w:right w:w="108" w:type="dxa"/>
            </w:tcMar>
            <w:vAlign w:val="center"/>
          </w:tcPr>
          <w:p>
            <w:pPr>
              <w:widowControl/>
              <w:spacing w:before="100" w:beforeAutospacing="1" w:after="100" w:afterAutospacing="1"/>
              <w:ind w:left="0" w:leftChars="0" w:firstLine="0" w:firstLineChars="0"/>
              <w:jc w:val="center"/>
              <w:rPr>
                <w:rFonts w:ascii="Times New Roman" w:hAnsi="Times New Roman" w:eastAsia="仿宋_GB2312" w:cs="Times New Roman"/>
                <w:kern w:val="0"/>
                <w:sz w:val="24"/>
                <w:szCs w:val="24"/>
                <w:highlight w:val="none"/>
                <w:lang w:val="en-US" w:eastAsia="zh-CN" w:bidi="ar-SA"/>
              </w:rPr>
            </w:pPr>
            <w:r>
              <w:rPr>
                <w:rFonts w:ascii="Times New Roman" w:hAnsi="Times New Roman" w:eastAsia="仿宋_GB2312" w:cs="Times New Roman"/>
                <w:kern w:val="0"/>
                <w:sz w:val="24"/>
                <w:szCs w:val="24"/>
                <w:highlight w:val="none"/>
                <w:lang w:val="en-US" w:eastAsia="zh-CN" w:bidi="ar-SA"/>
              </w:rPr>
              <w:t>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0" w:hRule="atLeast"/>
          <w:jc w:val="center"/>
        </w:trPr>
        <w:tc>
          <w:tcPr>
            <w:tcW w:w="1713" w:type="pct"/>
            <w:vMerge w:val="continue"/>
            <w:shd w:val="clear" w:color="auto" w:fill="FFFFFF"/>
            <w:tcMar>
              <w:left w:w="108" w:type="dxa"/>
              <w:right w:w="108" w:type="dxa"/>
            </w:tcMar>
            <w:vAlign w:val="center"/>
          </w:tcPr>
          <w:p>
            <w:pPr>
              <w:spacing w:line="240" w:lineRule="auto"/>
              <w:ind w:firstLine="0" w:firstLineChars="0"/>
              <w:jc w:val="center"/>
              <w:rPr>
                <w:rFonts w:ascii="Times New Roman" w:hAnsi="Times New Roman" w:eastAsia="仿宋_GB2312" w:cs="Times New Roman"/>
                <w:sz w:val="21"/>
                <w:szCs w:val="22"/>
                <w:highlight w:val="none"/>
              </w:rPr>
            </w:pPr>
          </w:p>
        </w:tc>
        <w:tc>
          <w:tcPr>
            <w:tcW w:w="1381" w:type="pct"/>
            <w:shd w:val="clear" w:color="auto" w:fill="FFFFFF"/>
            <w:tcMar>
              <w:left w:w="108" w:type="dxa"/>
              <w:right w:w="108" w:type="dxa"/>
            </w:tcMar>
            <w:vAlign w:val="center"/>
          </w:tcPr>
          <w:p>
            <w:pPr>
              <w:widowControl/>
              <w:spacing w:before="100" w:beforeAutospacing="1" w:after="100" w:afterAutospacing="1"/>
              <w:ind w:left="0" w:leftChars="0" w:firstLine="0" w:firstLineChars="0"/>
              <w:jc w:val="center"/>
              <w:rPr>
                <w:rFonts w:ascii="Times New Roman" w:hAnsi="Times New Roman" w:eastAsia="仿宋_GB2312" w:cs="Times New Roman"/>
                <w:kern w:val="0"/>
                <w:sz w:val="24"/>
                <w:szCs w:val="24"/>
                <w:highlight w:val="none"/>
                <w:lang w:val="en-US" w:eastAsia="zh-CN" w:bidi="ar-SA"/>
              </w:rPr>
            </w:pPr>
            <w:r>
              <w:rPr>
                <w:rFonts w:ascii="Times New Roman" w:hAnsi="Times New Roman" w:eastAsia="仿宋_GB2312" w:cs="Times New Roman"/>
                <w:kern w:val="0"/>
                <w:sz w:val="24"/>
                <w:szCs w:val="24"/>
                <w:highlight w:val="none"/>
                <w:lang w:val="en-US" w:eastAsia="zh-CN" w:bidi="ar-SA"/>
              </w:rPr>
              <w:t>Cr</w:t>
            </w:r>
          </w:p>
        </w:tc>
        <w:tc>
          <w:tcPr>
            <w:tcW w:w="1905" w:type="pct"/>
            <w:shd w:val="clear" w:color="auto" w:fill="FFFFFF"/>
            <w:tcMar>
              <w:left w:w="108" w:type="dxa"/>
              <w:right w:w="108" w:type="dxa"/>
            </w:tcMar>
            <w:vAlign w:val="center"/>
          </w:tcPr>
          <w:p>
            <w:pPr>
              <w:widowControl/>
              <w:spacing w:before="100" w:beforeAutospacing="1" w:after="100" w:afterAutospacing="1"/>
              <w:ind w:left="0" w:leftChars="0" w:firstLine="0" w:firstLineChars="0"/>
              <w:jc w:val="center"/>
              <w:rPr>
                <w:rFonts w:ascii="Times New Roman" w:hAnsi="Times New Roman" w:eastAsia="仿宋_GB2312" w:cs="Times New Roman"/>
                <w:kern w:val="0"/>
                <w:sz w:val="24"/>
                <w:szCs w:val="24"/>
                <w:highlight w:val="none"/>
                <w:lang w:val="en-US" w:eastAsia="zh-CN" w:bidi="ar-SA"/>
              </w:rPr>
            </w:pPr>
            <w:r>
              <w:rPr>
                <w:rFonts w:ascii="Times New Roman" w:hAnsi="Times New Roman" w:eastAsia="仿宋_GB2312" w:cs="Times New Roman"/>
                <w:kern w:val="0"/>
                <w:sz w:val="24"/>
                <w:szCs w:val="24"/>
                <w:highlight w:val="none"/>
                <w:lang w:val="en-US" w:eastAsia="zh-CN" w:bidi="ar-SA"/>
              </w:rPr>
              <w:t>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0" w:hRule="atLeast"/>
          <w:jc w:val="center"/>
        </w:trPr>
        <w:tc>
          <w:tcPr>
            <w:tcW w:w="1713" w:type="pct"/>
            <w:vMerge w:val="continue"/>
            <w:shd w:val="clear" w:color="auto" w:fill="FFFFFF"/>
            <w:tcMar>
              <w:left w:w="108" w:type="dxa"/>
              <w:right w:w="108" w:type="dxa"/>
            </w:tcMar>
            <w:vAlign w:val="center"/>
          </w:tcPr>
          <w:p>
            <w:pPr>
              <w:spacing w:line="240" w:lineRule="auto"/>
              <w:ind w:firstLine="0" w:firstLineChars="0"/>
              <w:jc w:val="center"/>
              <w:rPr>
                <w:rFonts w:ascii="Times New Roman" w:hAnsi="Times New Roman" w:eastAsia="仿宋_GB2312" w:cs="Times New Roman"/>
                <w:sz w:val="21"/>
                <w:szCs w:val="22"/>
                <w:highlight w:val="none"/>
              </w:rPr>
            </w:pPr>
          </w:p>
        </w:tc>
        <w:tc>
          <w:tcPr>
            <w:tcW w:w="1381" w:type="pct"/>
            <w:shd w:val="clear" w:color="auto" w:fill="FFFFFF"/>
            <w:tcMar>
              <w:left w:w="108" w:type="dxa"/>
              <w:right w:w="108" w:type="dxa"/>
            </w:tcMar>
            <w:vAlign w:val="center"/>
          </w:tcPr>
          <w:p>
            <w:pPr>
              <w:widowControl/>
              <w:spacing w:before="100" w:beforeAutospacing="1" w:after="100" w:afterAutospacing="1"/>
              <w:ind w:left="0" w:leftChars="0" w:firstLine="0" w:firstLineChars="0"/>
              <w:jc w:val="center"/>
              <w:rPr>
                <w:rFonts w:ascii="Times New Roman" w:hAnsi="Times New Roman" w:eastAsia="仿宋_GB2312" w:cs="Times New Roman"/>
                <w:kern w:val="0"/>
                <w:sz w:val="24"/>
                <w:szCs w:val="24"/>
                <w:highlight w:val="none"/>
                <w:lang w:val="en-US" w:eastAsia="zh-CN" w:bidi="ar-SA"/>
              </w:rPr>
            </w:pPr>
            <w:r>
              <w:rPr>
                <w:rFonts w:ascii="Times New Roman" w:hAnsi="Times New Roman" w:eastAsia="仿宋_GB2312" w:cs="Times New Roman"/>
                <w:kern w:val="0"/>
                <w:sz w:val="24"/>
                <w:szCs w:val="24"/>
                <w:highlight w:val="none"/>
                <w:lang w:val="en-US" w:eastAsia="zh-CN" w:bidi="ar-SA"/>
              </w:rPr>
              <w:t>Mg</w:t>
            </w:r>
          </w:p>
        </w:tc>
        <w:tc>
          <w:tcPr>
            <w:tcW w:w="1905" w:type="pct"/>
            <w:shd w:val="clear" w:color="auto" w:fill="FFFFFF"/>
            <w:tcMar>
              <w:left w:w="108" w:type="dxa"/>
              <w:right w:w="108" w:type="dxa"/>
            </w:tcMar>
            <w:vAlign w:val="center"/>
          </w:tcPr>
          <w:p>
            <w:pPr>
              <w:widowControl/>
              <w:spacing w:before="100" w:beforeAutospacing="1" w:after="100" w:afterAutospacing="1"/>
              <w:ind w:left="0" w:leftChars="0" w:firstLine="0" w:firstLineChars="0"/>
              <w:jc w:val="center"/>
              <w:rPr>
                <w:rFonts w:ascii="Times New Roman" w:hAnsi="Times New Roman" w:eastAsia="仿宋_GB2312" w:cs="Times New Roman"/>
                <w:kern w:val="0"/>
                <w:sz w:val="24"/>
                <w:szCs w:val="24"/>
                <w:highlight w:val="none"/>
                <w:lang w:val="en-US" w:eastAsia="zh-CN" w:bidi="ar-SA"/>
              </w:rPr>
            </w:pPr>
            <w:r>
              <w:rPr>
                <w:rFonts w:ascii="Times New Roman" w:hAnsi="Times New Roman" w:eastAsia="仿宋_GB2312" w:cs="Times New Roman"/>
                <w:kern w:val="0"/>
                <w:sz w:val="24"/>
                <w:szCs w:val="24"/>
                <w:highlight w:val="none"/>
                <w:lang w:val="en-US" w:eastAsia="zh-CN" w:bidi="ar-SA"/>
              </w:rPr>
              <w:t>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0" w:hRule="atLeast"/>
          <w:jc w:val="center"/>
        </w:trPr>
        <w:tc>
          <w:tcPr>
            <w:tcW w:w="1713" w:type="pct"/>
            <w:vMerge w:val="continue"/>
            <w:shd w:val="clear" w:color="auto" w:fill="FFFFFF"/>
            <w:tcMar>
              <w:left w:w="108" w:type="dxa"/>
              <w:right w:w="108" w:type="dxa"/>
            </w:tcMar>
            <w:vAlign w:val="center"/>
          </w:tcPr>
          <w:p>
            <w:pPr>
              <w:spacing w:line="240" w:lineRule="auto"/>
              <w:ind w:firstLine="0" w:firstLineChars="0"/>
              <w:jc w:val="center"/>
              <w:rPr>
                <w:rFonts w:ascii="Times New Roman" w:hAnsi="Times New Roman" w:eastAsia="仿宋_GB2312" w:cs="Times New Roman"/>
                <w:sz w:val="21"/>
                <w:szCs w:val="22"/>
                <w:highlight w:val="none"/>
              </w:rPr>
            </w:pPr>
          </w:p>
        </w:tc>
        <w:tc>
          <w:tcPr>
            <w:tcW w:w="1381" w:type="pct"/>
            <w:shd w:val="clear" w:color="auto" w:fill="FFFFFF"/>
            <w:tcMar>
              <w:left w:w="108" w:type="dxa"/>
              <w:right w:w="108" w:type="dxa"/>
            </w:tcMar>
            <w:vAlign w:val="center"/>
          </w:tcPr>
          <w:p>
            <w:pPr>
              <w:widowControl/>
              <w:spacing w:before="100" w:beforeAutospacing="1" w:after="100" w:afterAutospacing="1"/>
              <w:ind w:left="0" w:leftChars="0" w:firstLine="0" w:firstLineChars="0"/>
              <w:jc w:val="center"/>
              <w:rPr>
                <w:rFonts w:ascii="Times New Roman" w:hAnsi="Times New Roman" w:eastAsia="仿宋_GB2312" w:cs="Times New Roman"/>
                <w:kern w:val="0"/>
                <w:sz w:val="24"/>
                <w:szCs w:val="24"/>
                <w:highlight w:val="none"/>
                <w:lang w:val="en-US" w:eastAsia="zh-CN" w:bidi="ar-SA"/>
              </w:rPr>
            </w:pPr>
            <w:r>
              <w:rPr>
                <w:rFonts w:ascii="Times New Roman" w:hAnsi="Times New Roman" w:eastAsia="仿宋_GB2312" w:cs="Times New Roman"/>
                <w:kern w:val="0"/>
                <w:sz w:val="24"/>
                <w:szCs w:val="24"/>
                <w:highlight w:val="none"/>
                <w:lang w:val="en-US" w:eastAsia="zh-CN" w:bidi="ar-SA"/>
              </w:rPr>
              <w:t>Sn</w:t>
            </w:r>
          </w:p>
        </w:tc>
        <w:tc>
          <w:tcPr>
            <w:tcW w:w="1905" w:type="pct"/>
            <w:shd w:val="clear" w:color="auto" w:fill="FFFFFF"/>
            <w:tcMar>
              <w:left w:w="108" w:type="dxa"/>
              <w:right w:w="108" w:type="dxa"/>
            </w:tcMar>
            <w:vAlign w:val="center"/>
          </w:tcPr>
          <w:p>
            <w:pPr>
              <w:widowControl/>
              <w:spacing w:before="100" w:beforeAutospacing="1" w:after="100" w:afterAutospacing="1"/>
              <w:ind w:left="0" w:leftChars="0" w:firstLine="0" w:firstLineChars="0"/>
              <w:jc w:val="center"/>
              <w:rPr>
                <w:rFonts w:ascii="Times New Roman" w:hAnsi="Times New Roman" w:eastAsia="仿宋_GB2312" w:cs="Times New Roman"/>
                <w:kern w:val="0"/>
                <w:sz w:val="24"/>
                <w:szCs w:val="24"/>
                <w:highlight w:val="none"/>
                <w:lang w:val="en-US" w:eastAsia="zh-CN" w:bidi="ar-SA"/>
              </w:rPr>
            </w:pPr>
            <w:r>
              <w:rPr>
                <w:rFonts w:ascii="Times New Roman" w:hAnsi="Times New Roman" w:eastAsia="仿宋_GB2312" w:cs="Times New Roman"/>
                <w:kern w:val="0"/>
                <w:sz w:val="24"/>
                <w:szCs w:val="24"/>
                <w:highlight w:val="none"/>
                <w:lang w:val="en-US" w:eastAsia="zh-CN" w:bidi="ar-SA"/>
              </w:rPr>
              <w:t>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0" w:hRule="atLeast"/>
          <w:jc w:val="center"/>
        </w:trPr>
        <w:tc>
          <w:tcPr>
            <w:tcW w:w="1713" w:type="pct"/>
            <w:vMerge w:val="continue"/>
            <w:shd w:val="clear" w:color="auto" w:fill="FFFFFF"/>
            <w:tcMar>
              <w:left w:w="108" w:type="dxa"/>
              <w:right w:w="108" w:type="dxa"/>
            </w:tcMar>
            <w:vAlign w:val="center"/>
          </w:tcPr>
          <w:p>
            <w:pPr>
              <w:spacing w:line="240" w:lineRule="auto"/>
              <w:ind w:firstLine="0" w:firstLineChars="0"/>
              <w:jc w:val="center"/>
              <w:rPr>
                <w:rFonts w:ascii="Times New Roman" w:hAnsi="Times New Roman" w:eastAsia="仿宋_GB2312" w:cs="Times New Roman"/>
                <w:sz w:val="21"/>
                <w:szCs w:val="22"/>
                <w:highlight w:val="none"/>
              </w:rPr>
            </w:pPr>
          </w:p>
        </w:tc>
        <w:tc>
          <w:tcPr>
            <w:tcW w:w="1381" w:type="pct"/>
            <w:shd w:val="clear" w:color="auto" w:fill="FFFFFF"/>
            <w:tcMar>
              <w:left w:w="108" w:type="dxa"/>
              <w:right w:w="108" w:type="dxa"/>
            </w:tcMar>
            <w:vAlign w:val="center"/>
          </w:tcPr>
          <w:p>
            <w:pPr>
              <w:widowControl/>
              <w:spacing w:before="100" w:beforeAutospacing="1" w:after="100" w:afterAutospacing="1"/>
              <w:ind w:left="0" w:leftChars="0" w:firstLine="0" w:firstLineChars="0"/>
              <w:jc w:val="center"/>
              <w:rPr>
                <w:rFonts w:ascii="Times New Roman" w:hAnsi="Times New Roman" w:eastAsia="仿宋_GB2312" w:cs="Times New Roman"/>
                <w:kern w:val="0"/>
                <w:sz w:val="24"/>
                <w:szCs w:val="24"/>
                <w:highlight w:val="none"/>
                <w:lang w:val="en-US" w:eastAsia="zh-CN" w:bidi="ar-SA"/>
              </w:rPr>
            </w:pPr>
            <w:r>
              <w:rPr>
                <w:rFonts w:ascii="Times New Roman" w:hAnsi="Times New Roman" w:eastAsia="仿宋_GB2312" w:cs="Times New Roman"/>
                <w:kern w:val="0"/>
                <w:sz w:val="24"/>
                <w:szCs w:val="24"/>
                <w:highlight w:val="none"/>
                <w:lang w:val="en-US" w:eastAsia="zh-CN" w:bidi="ar-SA"/>
              </w:rPr>
              <w:t>Si</w:t>
            </w:r>
          </w:p>
        </w:tc>
        <w:tc>
          <w:tcPr>
            <w:tcW w:w="1905" w:type="pct"/>
            <w:shd w:val="clear" w:color="auto" w:fill="FFFFFF"/>
            <w:tcMar>
              <w:left w:w="108" w:type="dxa"/>
              <w:right w:w="108" w:type="dxa"/>
            </w:tcMar>
            <w:vAlign w:val="center"/>
          </w:tcPr>
          <w:p>
            <w:pPr>
              <w:widowControl/>
              <w:spacing w:before="100" w:beforeAutospacing="1" w:after="100" w:afterAutospacing="1"/>
              <w:ind w:left="0" w:leftChars="0" w:firstLine="0" w:firstLineChars="0"/>
              <w:jc w:val="center"/>
              <w:rPr>
                <w:rFonts w:ascii="Times New Roman" w:hAnsi="Times New Roman" w:eastAsia="仿宋_GB2312" w:cs="Times New Roman"/>
                <w:kern w:val="0"/>
                <w:sz w:val="24"/>
                <w:szCs w:val="24"/>
                <w:highlight w:val="none"/>
                <w:lang w:val="en-US" w:eastAsia="zh-CN" w:bidi="ar-SA"/>
              </w:rPr>
            </w:pPr>
            <w:r>
              <w:rPr>
                <w:rFonts w:ascii="Times New Roman" w:hAnsi="Times New Roman" w:eastAsia="仿宋_GB2312" w:cs="Times New Roman"/>
                <w:kern w:val="0"/>
                <w:sz w:val="24"/>
                <w:szCs w:val="24"/>
                <w:highlight w:val="none"/>
                <w:lang w:val="en-US" w:eastAsia="zh-CN" w:bidi="ar-SA"/>
              </w:rPr>
              <w:t>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0" w:hRule="atLeast"/>
          <w:jc w:val="center"/>
        </w:trPr>
        <w:tc>
          <w:tcPr>
            <w:tcW w:w="1713" w:type="pct"/>
            <w:vMerge w:val="continue"/>
            <w:shd w:val="clear" w:color="auto" w:fill="FFFFFF"/>
            <w:tcMar>
              <w:left w:w="108" w:type="dxa"/>
              <w:right w:w="108" w:type="dxa"/>
            </w:tcMar>
            <w:vAlign w:val="center"/>
          </w:tcPr>
          <w:p>
            <w:pPr>
              <w:spacing w:line="240" w:lineRule="auto"/>
              <w:ind w:firstLine="0" w:firstLineChars="0"/>
              <w:jc w:val="center"/>
              <w:rPr>
                <w:rFonts w:ascii="Times New Roman" w:hAnsi="Times New Roman" w:eastAsia="仿宋_GB2312" w:cs="Times New Roman"/>
                <w:sz w:val="21"/>
                <w:szCs w:val="22"/>
                <w:highlight w:val="none"/>
              </w:rPr>
            </w:pPr>
          </w:p>
        </w:tc>
        <w:tc>
          <w:tcPr>
            <w:tcW w:w="1381" w:type="pct"/>
            <w:shd w:val="clear" w:color="auto" w:fill="FFFFFF"/>
            <w:tcMar>
              <w:left w:w="108" w:type="dxa"/>
              <w:right w:w="108" w:type="dxa"/>
            </w:tcMar>
            <w:vAlign w:val="center"/>
          </w:tcPr>
          <w:p>
            <w:pPr>
              <w:widowControl/>
              <w:spacing w:before="100" w:beforeAutospacing="1" w:after="100" w:afterAutospacing="1"/>
              <w:ind w:left="0" w:leftChars="0" w:firstLine="0" w:firstLineChars="0"/>
              <w:jc w:val="center"/>
              <w:rPr>
                <w:rFonts w:ascii="Times New Roman" w:hAnsi="Times New Roman" w:eastAsia="仿宋_GB2312" w:cs="Times New Roman"/>
                <w:kern w:val="0"/>
                <w:sz w:val="24"/>
                <w:szCs w:val="24"/>
                <w:highlight w:val="none"/>
                <w:lang w:val="en-US" w:eastAsia="zh-CN" w:bidi="ar-SA"/>
              </w:rPr>
            </w:pPr>
            <w:r>
              <w:rPr>
                <w:rFonts w:ascii="Times New Roman" w:hAnsi="Times New Roman" w:eastAsia="仿宋_GB2312" w:cs="Times New Roman"/>
                <w:kern w:val="0"/>
                <w:sz w:val="24"/>
                <w:szCs w:val="24"/>
                <w:highlight w:val="none"/>
                <w:lang w:val="en-US" w:eastAsia="zh-CN" w:bidi="ar-SA"/>
              </w:rPr>
              <w:t>Zn</w:t>
            </w:r>
          </w:p>
        </w:tc>
        <w:tc>
          <w:tcPr>
            <w:tcW w:w="1905" w:type="pct"/>
            <w:shd w:val="clear" w:color="auto" w:fill="FFFFFF"/>
            <w:tcMar>
              <w:left w:w="108" w:type="dxa"/>
              <w:right w:w="108" w:type="dxa"/>
            </w:tcMar>
            <w:vAlign w:val="center"/>
          </w:tcPr>
          <w:p>
            <w:pPr>
              <w:widowControl/>
              <w:spacing w:before="100" w:beforeAutospacing="1" w:after="100" w:afterAutospacing="1"/>
              <w:ind w:left="0" w:leftChars="0" w:firstLine="0" w:firstLineChars="0"/>
              <w:jc w:val="center"/>
              <w:rPr>
                <w:rFonts w:ascii="Times New Roman" w:hAnsi="Times New Roman" w:eastAsia="仿宋_GB2312" w:cs="Times New Roman"/>
                <w:kern w:val="0"/>
                <w:sz w:val="24"/>
                <w:szCs w:val="24"/>
                <w:highlight w:val="none"/>
                <w:lang w:val="en-US" w:eastAsia="zh-CN" w:bidi="ar-SA"/>
              </w:rPr>
            </w:pPr>
            <w:r>
              <w:rPr>
                <w:rFonts w:ascii="Times New Roman" w:hAnsi="Times New Roman" w:eastAsia="仿宋_GB2312" w:cs="Times New Roman"/>
                <w:kern w:val="0"/>
                <w:sz w:val="24"/>
                <w:szCs w:val="24"/>
                <w:highlight w:val="none"/>
                <w:lang w:val="en-US" w:eastAsia="zh-CN" w:bidi="ar-SA"/>
              </w:rPr>
              <w:t>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0" w:hRule="atLeast"/>
          <w:jc w:val="center"/>
        </w:trPr>
        <w:tc>
          <w:tcPr>
            <w:tcW w:w="1713" w:type="pct"/>
            <w:vMerge w:val="continue"/>
            <w:shd w:val="clear" w:color="auto" w:fill="FFFFFF"/>
            <w:tcMar>
              <w:left w:w="108" w:type="dxa"/>
              <w:right w:w="108" w:type="dxa"/>
            </w:tcMar>
            <w:vAlign w:val="center"/>
          </w:tcPr>
          <w:p>
            <w:pPr>
              <w:spacing w:line="240" w:lineRule="auto"/>
              <w:ind w:firstLine="0" w:firstLineChars="0"/>
              <w:jc w:val="center"/>
              <w:rPr>
                <w:rFonts w:ascii="Times New Roman" w:hAnsi="Times New Roman" w:eastAsia="仿宋_GB2312" w:cs="Times New Roman"/>
                <w:sz w:val="21"/>
                <w:szCs w:val="22"/>
                <w:highlight w:val="none"/>
              </w:rPr>
            </w:pPr>
          </w:p>
        </w:tc>
        <w:tc>
          <w:tcPr>
            <w:tcW w:w="1381" w:type="pct"/>
            <w:shd w:val="clear" w:color="auto" w:fill="FFFFFF"/>
            <w:tcMar>
              <w:left w:w="108" w:type="dxa"/>
              <w:right w:w="108" w:type="dxa"/>
            </w:tcMar>
            <w:vAlign w:val="center"/>
          </w:tcPr>
          <w:p>
            <w:pPr>
              <w:widowControl/>
              <w:spacing w:before="100" w:beforeAutospacing="1" w:after="100" w:afterAutospacing="1"/>
              <w:ind w:left="0" w:leftChars="0" w:firstLine="0" w:firstLineChars="0"/>
              <w:jc w:val="center"/>
              <w:rPr>
                <w:rFonts w:ascii="Times New Roman" w:hAnsi="Times New Roman" w:eastAsia="仿宋_GB2312" w:cs="Times New Roman"/>
                <w:kern w:val="0"/>
                <w:sz w:val="24"/>
                <w:szCs w:val="24"/>
                <w:highlight w:val="none"/>
                <w:lang w:val="en-US" w:eastAsia="zh-CN" w:bidi="ar-SA"/>
              </w:rPr>
            </w:pPr>
            <w:r>
              <w:rPr>
                <w:rFonts w:ascii="Times New Roman" w:hAnsi="Times New Roman" w:eastAsia="仿宋_GB2312" w:cs="Times New Roman"/>
                <w:kern w:val="0"/>
                <w:sz w:val="24"/>
                <w:szCs w:val="24"/>
                <w:highlight w:val="none"/>
                <w:lang w:val="en-US" w:eastAsia="zh-CN" w:bidi="ar-SA"/>
              </w:rPr>
              <w:t>Bi</w:t>
            </w:r>
          </w:p>
        </w:tc>
        <w:tc>
          <w:tcPr>
            <w:tcW w:w="1905" w:type="pct"/>
            <w:shd w:val="clear" w:color="auto" w:fill="FFFFFF"/>
            <w:tcMar>
              <w:left w:w="108" w:type="dxa"/>
              <w:right w:w="108" w:type="dxa"/>
            </w:tcMar>
            <w:vAlign w:val="center"/>
          </w:tcPr>
          <w:p>
            <w:pPr>
              <w:widowControl/>
              <w:spacing w:before="100" w:beforeAutospacing="1" w:after="100" w:afterAutospacing="1"/>
              <w:ind w:left="0" w:leftChars="0" w:firstLine="0" w:firstLineChars="0"/>
              <w:jc w:val="center"/>
              <w:rPr>
                <w:rFonts w:ascii="Times New Roman" w:hAnsi="Times New Roman" w:eastAsia="仿宋_GB2312" w:cs="Times New Roman"/>
                <w:kern w:val="0"/>
                <w:sz w:val="24"/>
                <w:szCs w:val="24"/>
                <w:highlight w:val="none"/>
                <w:lang w:val="en-US" w:eastAsia="zh-CN" w:bidi="ar-SA"/>
              </w:rPr>
            </w:pPr>
            <w:r>
              <w:rPr>
                <w:rFonts w:ascii="Times New Roman" w:hAnsi="Times New Roman" w:eastAsia="仿宋_GB2312" w:cs="Times New Roman"/>
                <w:kern w:val="0"/>
                <w:sz w:val="24"/>
                <w:szCs w:val="24"/>
                <w:highlight w:val="none"/>
                <w:lang w:val="en-US" w:eastAsia="zh-CN" w:bidi="ar-SA"/>
              </w:rPr>
              <w:t>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0" w:hRule="atLeast"/>
          <w:jc w:val="center"/>
        </w:trPr>
        <w:tc>
          <w:tcPr>
            <w:tcW w:w="1713" w:type="pct"/>
            <w:vMerge w:val="continue"/>
            <w:shd w:val="clear" w:color="auto" w:fill="FFFFFF"/>
            <w:tcMar>
              <w:left w:w="108" w:type="dxa"/>
              <w:right w:w="108" w:type="dxa"/>
            </w:tcMar>
            <w:vAlign w:val="center"/>
          </w:tcPr>
          <w:p>
            <w:pPr>
              <w:spacing w:line="240" w:lineRule="auto"/>
              <w:ind w:firstLine="0" w:firstLineChars="0"/>
              <w:jc w:val="center"/>
              <w:rPr>
                <w:rFonts w:ascii="Times New Roman" w:hAnsi="Times New Roman" w:eastAsia="仿宋_GB2312" w:cs="Times New Roman"/>
                <w:sz w:val="21"/>
                <w:szCs w:val="22"/>
                <w:highlight w:val="none"/>
              </w:rPr>
            </w:pPr>
          </w:p>
        </w:tc>
        <w:tc>
          <w:tcPr>
            <w:tcW w:w="1381" w:type="pct"/>
            <w:shd w:val="clear" w:color="auto" w:fill="FFFFFF"/>
            <w:tcMar>
              <w:left w:w="108" w:type="dxa"/>
              <w:right w:w="108" w:type="dxa"/>
            </w:tcMar>
            <w:vAlign w:val="center"/>
          </w:tcPr>
          <w:p>
            <w:pPr>
              <w:widowControl/>
              <w:spacing w:before="100" w:beforeAutospacing="1" w:after="100" w:afterAutospacing="1"/>
              <w:ind w:left="0" w:leftChars="0" w:firstLine="0" w:firstLineChars="0"/>
              <w:jc w:val="center"/>
              <w:rPr>
                <w:rFonts w:ascii="Times New Roman" w:hAnsi="Times New Roman" w:eastAsia="仿宋_GB2312" w:cs="Times New Roman"/>
                <w:kern w:val="0"/>
                <w:sz w:val="24"/>
                <w:szCs w:val="24"/>
                <w:highlight w:val="none"/>
                <w:lang w:val="en-US" w:eastAsia="zh-CN" w:bidi="ar-SA"/>
              </w:rPr>
            </w:pPr>
            <w:r>
              <w:rPr>
                <w:rFonts w:ascii="Times New Roman" w:hAnsi="Times New Roman" w:eastAsia="仿宋_GB2312" w:cs="Times New Roman"/>
                <w:kern w:val="0"/>
                <w:sz w:val="24"/>
                <w:szCs w:val="24"/>
                <w:highlight w:val="none"/>
                <w:lang w:val="en-US" w:eastAsia="zh-CN" w:bidi="ar-SA"/>
              </w:rPr>
              <w:t>Sb</w:t>
            </w:r>
          </w:p>
        </w:tc>
        <w:tc>
          <w:tcPr>
            <w:tcW w:w="1905" w:type="pct"/>
            <w:shd w:val="clear" w:color="auto" w:fill="FFFFFF"/>
            <w:tcMar>
              <w:left w:w="108" w:type="dxa"/>
              <w:right w:w="108" w:type="dxa"/>
            </w:tcMar>
            <w:vAlign w:val="center"/>
          </w:tcPr>
          <w:p>
            <w:pPr>
              <w:widowControl/>
              <w:spacing w:before="100" w:beforeAutospacing="1" w:after="100" w:afterAutospacing="1"/>
              <w:ind w:left="0" w:leftChars="0" w:firstLine="0" w:firstLineChars="0"/>
              <w:jc w:val="center"/>
              <w:rPr>
                <w:rFonts w:ascii="Times New Roman" w:hAnsi="Times New Roman" w:eastAsia="仿宋_GB2312" w:cs="Times New Roman"/>
                <w:kern w:val="0"/>
                <w:sz w:val="24"/>
                <w:szCs w:val="24"/>
                <w:highlight w:val="none"/>
                <w:lang w:val="en-US" w:eastAsia="zh-CN" w:bidi="ar-SA"/>
              </w:rPr>
            </w:pPr>
            <w:r>
              <w:rPr>
                <w:rFonts w:ascii="Times New Roman" w:hAnsi="Times New Roman" w:eastAsia="仿宋_GB2312" w:cs="Times New Roman"/>
                <w:kern w:val="0"/>
                <w:sz w:val="24"/>
                <w:szCs w:val="24"/>
                <w:highlight w:val="none"/>
                <w:lang w:val="en-US" w:eastAsia="zh-CN" w:bidi="ar-SA"/>
              </w:rPr>
              <w:t>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0" w:hRule="atLeast"/>
          <w:jc w:val="center"/>
        </w:trPr>
        <w:tc>
          <w:tcPr>
            <w:tcW w:w="1713" w:type="pct"/>
            <w:vMerge w:val="continue"/>
            <w:shd w:val="clear" w:color="auto" w:fill="FFFFFF"/>
            <w:tcMar>
              <w:left w:w="108" w:type="dxa"/>
              <w:right w:w="108" w:type="dxa"/>
            </w:tcMar>
            <w:vAlign w:val="center"/>
          </w:tcPr>
          <w:p>
            <w:pPr>
              <w:spacing w:line="240" w:lineRule="auto"/>
              <w:ind w:firstLine="0" w:firstLineChars="0"/>
              <w:jc w:val="center"/>
              <w:rPr>
                <w:rFonts w:ascii="Times New Roman" w:hAnsi="Times New Roman" w:eastAsia="仿宋_GB2312" w:cs="Times New Roman"/>
                <w:sz w:val="21"/>
                <w:szCs w:val="22"/>
                <w:highlight w:val="none"/>
              </w:rPr>
            </w:pPr>
          </w:p>
        </w:tc>
        <w:tc>
          <w:tcPr>
            <w:tcW w:w="1381" w:type="pct"/>
            <w:shd w:val="clear" w:color="auto" w:fill="FFFFFF"/>
            <w:tcMar>
              <w:left w:w="108" w:type="dxa"/>
              <w:right w:w="108" w:type="dxa"/>
            </w:tcMar>
            <w:vAlign w:val="center"/>
          </w:tcPr>
          <w:p>
            <w:pPr>
              <w:widowControl/>
              <w:spacing w:before="100" w:beforeAutospacing="1" w:after="100" w:afterAutospacing="1"/>
              <w:ind w:left="0" w:leftChars="0" w:firstLine="0" w:firstLineChars="0"/>
              <w:jc w:val="center"/>
              <w:rPr>
                <w:rFonts w:ascii="Times New Roman" w:hAnsi="Times New Roman" w:eastAsia="仿宋_GB2312" w:cs="Times New Roman"/>
                <w:kern w:val="0"/>
                <w:sz w:val="24"/>
                <w:szCs w:val="24"/>
                <w:highlight w:val="none"/>
                <w:lang w:val="en-US" w:eastAsia="zh-CN" w:bidi="ar-SA"/>
              </w:rPr>
            </w:pPr>
            <w:r>
              <w:rPr>
                <w:rFonts w:ascii="Times New Roman" w:hAnsi="Times New Roman" w:eastAsia="仿宋_GB2312" w:cs="Times New Roman"/>
                <w:kern w:val="0"/>
                <w:sz w:val="24"/>
                <w:szCs w:val="24"/>
                <w:highlight w:val="none"/>
                <w:lang w:val="en-US" w:eastAsia="zh-CN" w:bidi="ar-SA"/>
              </w:rPr>
              <w:t>As</w:t>
            </w:r>
          </w:p>
        </w:tc>
        <w:tc>
          <w:tcPr>
            <w:tcW w:w="1905" w:type="pct"/>
            <w:shd w:val="clear" w:color="auto" w:fill="FFFFFF"/>
            <w:tcMar>
              <w:left w:w="108" w:type="dxa"/>
              <w:right w:w="108" w:type="dxa"/>
            </w:tcMar>
            <w:vAlign w:val="center"/>
          </w:tcPr>
          <w:p>
            <w:pPr>
              <w:widowControl/>
              <w:spacing w:before="100" w:beforeAutospacing="1" w:after="100" w:afterAutospacing="1"/>
              <w:ind w:left="0" w:leftChars="0" w:firstLine="0" w:firstLineChars="0"/>
              <w:jc w:val="center"/>
              <w:rPr>
                <w:rFonts w:ascii="Times New Roman" w:hAnsi="Times New Roman" w:eastAsia="仿宋_GB2312" w:cs="Times New Roman"/>
                <w:kern w:val="0"/>
                <w:sz w:val="24"/>
                <w:szCs w:val="24"/>
                <w:highlight w:val="none"/>
                <w:lang w:val="en-US" w:eastAsia="zh-CN" w:bidi="ar-SA"/>
              </w:rPr>
            </w:pPr>
            <w:r>
              <w:rPr>
                <w:rFonts w:ascii="Times New Roman" w:hAnsi="Times New Roman" w:eastAsia="仿宋_GB2312" w:cs="Times New Roman"/>
                <w:kern w:val="0"/>
                <w:sz w:val="24"/>
                <w:szCs w:val="24"/>
                <w:highlight w:val="none"/>
                <w:lang w:val="en-US" w:eastAsia="zh-CN" w:bidi="ar-SA"/>
              </w:rPr>
              <w:t>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0" w:hRule="atLeast"/>
          <w:jc w:val="center"/>
        </w:trPr>
        <w:tc>
          <w:tcPr>
            <w:tcW w:w="1713" w:type="pct"/>
            <w:vMerge w:val="continue"/>
            <w:shd w:val="clear" w:color="auto" w:fill="FFFFFF"/>
            <w:tcMar>
              <w:left w:w="108" w:type="dxa"/>
              <w:right w:w="108" w:type="dxa"/>
            </w:tcMar>
            <w:vAlign w:val="center"/>
          </w:tcPr>
          <w:p>
            <w:pPr>
              <w:spacing w:line="240" w:lineRule="auto"/>
              <w:ind w:firstLine="0" w:firstLineChars="0"/>
              <w:jc w:val="center"/>
              <w:rPr>
                <w:rFonts w:ascii="Times New Roman" w:hAnsi="Times New Roman" w:eastAsia="仿宋_GB2312" w:cs="Times New Roman"/>
                <w:sz w:val="21"/>
                <w:szCs w:val="22"/>
                <w:highlight w:val="none"/>
              </w:rPr>
            </w:pPr>
          </w:p>
        </w:tc>
        <w:tc>
          <w:tcPr>
            <w:tcW w:w="1381" w:type="pct"/>
            <w:shd w:val="clear" w:color="auto" w:fill="FFFFFF"/>
            <w:tcMar>
              <w:left w:w="108" w:type="dxa"/>
              <w:right w:w="108" w:type="dxa"/>
            </w:tcMar>
            <w:vAlign w:val="center"/>
          </w:tcPr>
          <w:p>
            <w:pPr>
              <w:widowControl/>
              <w:spacing w:before="100" w:beforeAutospacing="1" w:after="100" w:afterAutospacing="1"/>
              <w:ind w:left="0" w:leftChars="0" w:firstLine="0" w:firstLineChars="0"/>
              <w:jc w:val="center"/>
              <w:rPr>
                <w:rFonts w:ascii="Times New Roman" w:hAnsi="Times New Roman" w:eastAsia="仿宋_GB2312" w:cs="Times New Roman"/>
                <w:kern w:val="0"/>
                <w:sz w:val="24"/>
                <w:szCs w:val="24"/>
                <w:highlight w:val="none"/>
                <w:lang w:val="en-US" w:eastAsia="zh-CN" w:bidi="ar-SA"/>
              </w:rPr>
            </w:pPr>
            <w:r>
              <w:rPr>
                <w:rFonts w:ascii="Times New Roman" w:hAnsi="Times New Roman" w:eastAsia="仿宋_GB2312" w:cs="Times New Roman"/>
                <w:kern w:val="0"/>
                <w:sz w:val="24"/>
                <w:szCs w:val="24"/>
                <w:highlight w:val="none"/>
                <w:lang w:val="en-US" w:eastAsia="zh-CN" w:bidi="ar-SA"/>
              </w:rPr>
              <w:t>B</w:t>
            </w:r>
          </w:p>
        </w:tc>
        <w:tc>
          <w:tcPr>
            <w:tcW w:w="1905" w:type="pct"/>
            <w:shd w:val="clear" w:color="auto" w:fill="FFFFFF"/>
            <w:tcMar>
              <w:left w:w="108" w:type="dxa"/>
              <w:right w:w="108" w:type="dxa"/>
            </w:tcMar>
            <w:vAlign w:val="center"/>
          </w:tcPr>
          <w:p>
            <w:pPr>
              <w:widowControl/>
              <w:spacing w:before="100" w:beforeAutospacing="1" w:after="100" w:afterAutospacing="1"/>
              <w:ind w:left="0" w:leftChars="0" w:firstLine="0" w:firstLineChars="0"/>
              <w:jc w:val="center"/>
              <w:rPr>
                <w:rFonts w:ascii="Times New Roman" w:hAnsi="Times New Roman" w:eastAsia="仿宋_GB2312" w:cs="Times New Roman"/>
                <w:kern w:val="0"/>
                <w:sz w:val="24"/>
                <w:szCs w:val="24"/>
                <w:highlight w:val="none"/>
                <w:lang w:val="en-US" w:eastAsia="zh-CN" w:bidi="ar-SA"/>
              </w:rPr>
            </w:pPr>
            <w:r>
              <w:rPr>
                <w:rFonts w:ascii="Times New Roman" w:hAnsi="Times New Roman" w:eastAsia="仿宋_GB2312" w:cs="Times New Roman"/>
                <w:kern w:val="0"/>
                <w:sz w:val="24"/>
                <w:szCs w:val="24"/>
                <w:highlight w:val="none"/>
                <w:lang w:val="en-US" w:eastAsia="zh-CN" w:bidi="ar-SA"/>
              </w:rPr>
              <w:t>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0" w:hRule="atLeast"/>
          <w:jc w:val="center"/>
        </w:trPr>
        <w:tc>
          <w:tcPr>
            <w:tcW w:w="1713" w:type="pct"/>
            <w:vMerge w:val="continue"/>
            <w:shd w:val="clear" w:color="auto" w:fill="FFFFFF"/>
            <w:tcMar>
              <w:left w:w="108" w:type="dxa"/>
              <w:right w:w="108" w:type="dxa"/>
            </w:tcMar>
            <w:vAlign w:val="center"/>
          </w:tcPr>
          <w:p>
            <w:pPr>
              <w:spacing w:line="240" w:lineRule="auto"/>
              <w:ind w:firstLine="0" w:firstLineChars="0"/>
              <w:jc w:val="center"/>
              <w:rPr>
                <w:rFonts w:ascii="Times New Roman" w:hAnsi="Times New Roman" w:eastAsia="仿宋_GB2312" w:cs="Times New Roman"/>
                <w:sz w:val="21"/>
                <w:szCs w:val="22"/>
                <w:highlight w:val="none"/>
              </w:rPr>
            </w:pPr>
          </w:p>
        </w:tc>
        <w:tc>
          <w:tcPr>
            <w:tcW w:w="1381" w:type="pct"/>
            <w:shd w:val="clear" w:color="auto" w:fill="FFFFFF"/>
            <w:tcMar>
              <w:left w:w="108" w:type="dxa"/>
              <w:right w:w="108" w:type="dxa"/>
            </w:tcMar>
            <w:vAlign w:val="center"/>
          </w:tcPr>
          <w:p>
            <w:pPr>
              <w:widowControl/>
              <w:spacing w:before="100" w:beforeAutospacing="1" w:after="100" w:afterAutospacing="1"/>
              <w:ind w:left="0" w:leftChars="0" w:firstLine="0" w:firstLineChars="0"/>
              <w:jc w:val="center"/>
              <w:rPr>
                <w:rFonts w:ascii="Times New Roman" w:hAnsi="Times New Roman" w:eastAsia="仿宋_GB2312" w:cs="Times New Roman"/>
                <w:kern w:val="0"/>
                <w:sz w:val="24"/>
                <w:szCs w:val="24"/>
                <w:highlight w:val="none"/>
                <w:lang w:val="en-US" w:eastAsia="zh-CN" w:bidi="ar-SA"/>
              </w:rPr>
            </w:pPr>
            <w:r>
              <w:rPr>
                <w:rFonts w:ascii="Times New Roman" w:hAnsi="Times New Roman" w:eastAsia="仿宋_GB2312" w:cs="Times New Roman"/>
                <w:kern w:val="0"/>
                <w:sz w:val="24"/>
                <w:szCs w:val="24"/>
                <w:highlight w:val="none"/>
                <w:lang w:val="en-US" w:eastAsia="zh-CN" w:bidi="ar-SA"/>
              </w:rPr>
              <w:t>Ca</w:t>
            </w:r>
          </w:p>
        </w:tc>
        <w:tc>
          <w:tcPr>
            <w:tcW w:w="1905" w:type="pct"/>
            <w:shd w:val="clear" w:color="auto" w:fill="FFFFFF"/>
            <w:tcMar>
              <w:left w:w="108" w:type="dxa"/>
              <w:right w:w="108" w:type="dxa"/>
            </w:tcMar>
            <w:vAlign w:val="center"/>
          </w:tcPr>
          <w:p>
            <w:pPr>
              <w:widowControl/>
              <w:spacing w:before="100" w:beforeAutospacing="1" w:after="100" w:afterAutospacing="1"/>
              <w:ind w:left="0" w:leftChars="0" w:firstLine="0" w:firstLineChars="0"/>
              <w:jc w:val="center"/>
              <w:rPr>
                <w:rFonts w:ascii="Times New Roman" w:hAnsi="Times New Roman" w:eastAsia="仿宋_GB2312" w:cs="Times New Roman"/>
                <w:kern w:val="0"/>
                <w:sz w:val="24"/>
                <w:szCs w:val="24"/>
                <w:highlight w:val="none"/>
                <w:lang w:val="en-US" w:eastAsia="zh-CN" w:bidi="ar-SA"/>
              </w:rPr>
            </w:pPr>
            <w:r>
              <w:rPr>
                <w:rFonts w:ascii="Times New Roman" w:hAnsi="Times New Roman" w:eastAsia="仿宋_GB2312" w:cs="Times New Roman"/>
                <w:kern w:val="0"/>
                <w:sz w:val="24"/>
                <w:szCs w:val="24"/>
                <w:highlight w:val="none"/>
                <w:lang w:val="en-US" w:eastAsia="zh-CN" w:bidi="ar-SA"/>
              </w:rPr>
              <w:t>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0" w:hRule="atLeast"/>
          <w:jc w:val="center"/>
        </w:trPr>
        <w:tc>
          <w:tcPr>
            <w:tcW w:w="1713" w:type="pct"/>
            <w:vMerge w:val="continue"/>
            <w:shd w:val="clear" w:color="auto" w:fill="FFFFFF"/>
            <w:tcMar>
              <w:left w:w="108" w:type="dxa"/>
              <w:right w:w="108" w:type="dxa"/>
            </w:tcMar>
            <w:vAlign w:val="center"/>
          </w:tcPr>
          <w:p>
            <w:pPr>
              <w:spacing w:line="240" w:lineRule="auto"/>
              <w:ind w:firstLine="0" w:firstLineChars="0"/>
              <w:jc w:val="center"/>
              <w:rPr>
                <w:rFonts w:ascii="Times New Roman" w:hAnsi="Times New Roman" w:eastAsia="仿宋_GB2312" w:cs="Times New Roman"/>
                <w:sz w:val="21"/>
                <w:szCs w:val="22"/>
                <w:highlight w:val="none"/>
              </w:rPr>
            </w:pPr>
          </w:p>
        </w:tc>
        <w:tc>
          <w:tcPr>
            <w:tcW w:w="1381" w:type="pct"/>
            <w:shd w:val="clear" w:color="auto" w:fill="FFFFFF"/>
            <w:tcMar>
              <w:left w:w="108" w:type="dxa"/>
              <w:right w:w="108" w:type="dxa"/>
            </w:tcMar>
            <w:vAlign w:val="center"/>
          </w:tcPr>
          <w:p>
            <w:pPr>
              <w:widowControl/>
              <w:spacing w:before="100" w:beforeAutospacing="1" w:after="100" w:afterAutospacing="1"/>
              <w:ind w:left="0" w:leftChars="0" w:firstLine="0" w:firstLineChars="0"/>
              <w:jc w:val="center"/>
              <w:rPr>
                <w:rFonts w:ascii="Times New Roman" w:hAnsi="Times New Roman" w:eastAsia="仿宋_GB2312" w:cs="Times New Roman"/>
                <w:kern w:val="0"/>
                <w:sz w:val="24"/>
                <w:szCs w:val="24"/>
                <w:highlight w:val="none"/>
                <w:lang w:val="en-US" w:eastAsia="zh-CN" w:bidi="ar-SA"/>
              </w:rPr>
            </w:pPr>
            <w:r>
              <w:rPr>
                <w:rFonts w:ascii="Times New Roman" w:hAnsi="Times New Roman" w:eastAsia="仿宋_GB2312" w:cs="Times New Roman"/>
                <w:kern w:val="0"/>
                <w:sz w:val="24"/>
                <w:szCs w:val="24"/>
                <w:highlight w:val="none"/>
                <w:lang w:val="en-US" w:eastAsia="zh-CN" w:bidi="ar-SA"/>
              </w:rPr>
              <w:t>Cd</w:t>
            </w:r>
          </w:p>
        </w:tc>
        <w:tc>
          <w:tcPr>
            <w:tcW w:w="1905" w:type="pct"/>
            <w:shd w:val="clear" w:color="auto" w:fill="FFFFFF"/>
            <w:tcMar>
              <w:left w:w="108" w:type="dxa"/>
              <w:right w:w="108" w:type="dxa"/>
            </w:tcMar>
            <w:vAlign w:val="center"/>
          </w:tcPr>
          <w:p>
            <w:pPr>
              <w:widowControl/>
              <w:spacing w:before="100" w:beforeAutospacing="1" w:after="100" w:afterAutospacing="1"/>
              <w:ind w:left="0" w:leftChars="0" w:firstLine="0" w:firstLineChars="0"/>
              <w:jc w:val="center"/>
              <w:rPr>
                <w:rFonts w:ascii="Times New Roman" w:hAnsi="Times New Roman" w:eastAsia="仿宋_GB2312" w:cs="Times New Roman"/>
                <w:kern w:val="0"/>
                <w:sz w:val="24"/>
                <w:szCs w:val="24"/>
                <w:highlight w:val="none"/>
                <w:lang w:val="en-US" w:eastAsia="zh-CN" w:bidi="ar-SA"/>
              </w:rPr>
            </w:pPr>
            <w:r>
              <w:rPr>
                <w:rFonts w:ascii="Times New Roman" w:hAnsi="Times New Roman" w:eastAsia="仿宋_GB2312" w:cs="Times New Roman"/>
                <w:kern w:val="0"/>
                <w:sz w:val="24"/>
                <w:szCs w:val="24"/>
                <w:highlight w:val="none"/>
                <w:lang w:val="en-US" w:eastAsia="zh-CN" w:bidi="ar-SA"/>
              </w:rPr>
              <w:t>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0" w:hRule="atLeast"/>
          <w:jc w:val="center"/>
        </w:trPr>
        <w:tc>
          <w:tcPr>
            <w:tcW w:w="1713" w:type="pct"/>
            <w:vMerge w:val="continue"/>
            <w:shd w:val="clear" w:color="auto" w:fill="FFFFFF"/>
            <w:tcMar>
              <w:left w:w="108" w:type="dxa"/>
              <w:right w:w="108" w:type="dxa"/>
            </w:tcMar>
            <w:vAlign w:val="center"/>
          </w:tcPr>
          <w:p>
            <w:pPr>
              <w:spacing w:line="240" w:lineRule="auto"/>
              <w:ind w:firstLine="0" w:firstLineChars="0"/>
              <w:jc w:val="center"/>
              <w:rPr>
                <w:rFonts w:ascii="Times New Roman" w:hAnsi="Times New Roman" w:eastAsia="仿宋_GB2312" w:cs="Times New Roman"/>
                <w:sz w:val="21"/>
                <w:szCs w:val="22"/>
                <w:highlight w:val="none"/>
              </w:rPr>
            </w:pPr>
          </w:p>
        </w:tc>
        <w:tc>
          <w:tcPr>
            <w:tcW w:w="1381" w:type="pct"/>
            <w:shd w:val="clear" w:color="auto" w:fill="FFFFFF"/>
            <w:tcMar>
              <w:left w:w="108" w:type="dxa"/>
              <w:right w:w="108" w:type="dxa"/>
            </w:tcMar>
            <w:vAlign w:val="center"/>
          </w:tcPr>
          <w:p>
            <w:pPr>
              <w:widowControl/>
              <w:spacing w:before="100" w:beforeAutospacing="1" w:after="100" w:afterAutospacing="1"/>
              <w:ind w:left="0" w:leftChars="0" w:firstLine="0" w:firstLineChars="0"/>
              <w:jc w:val="center"/>
              <w:rPr>
                <w:rFonts w:ascii="Times New Roman" w:hAnsi="Times New Roman" w:eastAsia="仿宋_GB2312" w:cs="Times New Roman"/>
                <w:kern w:val="0"/>
                <w:sz w:val="24"/>
                <w:szCs w:val="24"/>
                <w:highlight w:val="none"/>
                <w:lang w:val="en-US" w:eastAsia="zh-CN" w:bidi="ar-SA"/>
              </w:rPr>
            </w:pPr>
            <w:r>
              <w:rPr>
                <w:rFonts w:ascii="Times New Roman" w:hAnsi="Times New Roman" w:eastAsia="仿宋_GB2312" w:cs="Times New Roman"/>
                <w:kern w:val="0"/>
                <w:sz w:val="24"/>
                <w:szCs w:val="24"/>
                <w:highlight w:val="none"/>
                <w:lang w:val="en-US" w:eastAsia="zh-CN" w:bidi="ar-SA"/>
              </w:rPr>
              <w:t>Co</w:t>
            </w:r>
          </w:p>
        </w:tc>
        <w:tc>
          <w:tcPr>
            <w:tcW w:w="1905" w:type="pct"/>
            <w:shd w:val="clear" w:color="auto" w:fill="FFFFFF"/>
            <w:tcMar>
              <w:left w:w="108" w:type="dxa"/>
              <w:right w:w="108" w:type="dxa"/>
            </w:tcMar>
            <w:vAlign w:val="center"/>
          </w:tcPr>
          <w:p>
            <w:pPr>
              <w:widowControl/>
              <w:spacing w:before="100" w:beforeAutospacing="1" w:after="100" w:afterAutospacing="1"/>
              <w:ind w:left="0" w:leftChars="0" w:firstLine="0" w:firstLineChars="0"/>
              <w:jc w:val="center"/>
              <w:rPr>
                <w:rFonts w:ascii="Times New Roman" w:hAnsi="Times New Roman" w:eastAsia="仿宋_GB2312" w:cs="Times New Roman"/>
                <w:kern w:val="0"/>
                <w:sz w:val="24"/>
                <w:szCs w:val="24"/>
                <w:highlight w:val="none"/>
                <w:lang w:val="en-US" w:eastAsia="zh-CN" w:bidi="ar-SA"/>
              </w:rPr>
            </w:pPr>
            <w:r>
              <w:rPr>
                <w:rFonts w:ascii="Times New Roman" w:hAnsi="Times New Roman" w:eastAsia="仿宋_GB2312" w:cs="Times New Roman"/>
                <w:kern w:val="0"/>
                <w:sz w:val="24"/>
                <w:szCs w:val="24"/>
                <w:highlight w:val="none"/>
                <w:lang w:val="en-US" w:eastAsia="zh-CN" w:bidi="ar-SA"/>
              </w:rPr>
              <w:t>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0" w:hRule="atLeast"/>
          <w:jc w:val="center"/>
        </w:trPr>
        <w:tc>
          <w:tcPr>
            <w:tcW w:w="1713" w:type="pct"/>
            <w:vMerge w:val="continue"/>
            <w:shd w:val="clear" w:color="auto" w:fill="FFFFFF"/>
            <w:tcMar>
              <w:left w:w="108" w:type="dxa"/>
              <w:right w:w="108" w:type="dxa"/>
            </w:tcMar>
            <w:vAlign w:val="center"/>
          </w:tcPr>
          <w:p>
            <w:pPr>
              <w:spacing w:line="240" w:lineRule="auto"/>
              <w:ind w:firstLine="0" w:firstLineChars="0"/>
              <w:jc w:val="center"/>
              <w:rPr>
                <w:rFonts w:ascii="Times New Roman" w:hAnsi="Times New Roman" w:eastAsia="仿宋_GB2312" w:cs="Times New Roman"/>
                <w:sz w:val="21"/>
                <w:szCs w:val="22"/>
                <w:highlight w:val="none"/>
              </w:rPr>
            </w:pPr>
          </w:p>
        </w:tc>
        <w:tc>
          <w:tcPr>
            <w:tcW w:w="1381" w:type="pct"/>
            <w:shd w:val="clear" w:color="auto" w:fill="FFFFFF"/>
            <w:tcMar>
              <w:left w:w="108" w:type="dxa"/>
              <w:right w:w="108" w:type="dxa"/>
            </w:tcMar>
            <w:vAlign w:val="center"/>
          </w:tcPr>
          <w:p>
            <w:pPr>
              <w:widowControl/>
              <w:spacing w:before="100" w:beforeAutospacing="1" w:after="100" w:afterAutospacing="1"/>
              <w:ind w:left="0" w:leftChars="0" w:firstLine="0" w:firstLineChars="0"/>
              <w:jc w:val="center"/>
              <w:rPr>
                <w:rFonts w:ascii="Times New Roman" w:hAnsi="Times New Roman" w:eastAsia="仿宋_GB2312" w:cs="Times New Roman"/>
                <w:kern w:val="0"/>
                <w:sz w:val="24"/>
                <w:szCs w:val="24"/>
                <w:highlight w:val="none"/>
                <w:lang w:val="en-US" w:eastAsia="zh-CN" w:bidi="ar-SA"/>
              </w:rPr>
            </w:pPr>
            <w:r>
              <w:rPr>
                <w:rFonts w:ascii="Times New Roman" w:hAnsi="Times New Roman" w:eastAsia="仿宋_GB2312" w:cs="Times New Roman"/>
                <w:kern w:val="0"/>
                <w:sz w:val="24"/>
                <w:szCs w:val="24"/>
                <w:highlight w:val="none"/>
                <w:lang w:val="en-US" w:eastAsia="zh-CN" w:bidi="ar-SA"/>
              </w:rPr>
              <w:t>Mo</w:t>
            </w:r>
          </w:p>
        </w:tc>
        <w:tc>
          <w:tcPr>
            <w:tcW w:w="1905" w:type="pct"/>
            <w:shd w:val="clear" w:color="auto" w:fill="FFFFFF"/>
            <w:tcMar>
              <w:left w:w="108" w:type="dxa"/>
              <w:right w:w="108" w:type="dxa"/>
            </w:tcMar>
            <w:vAlign w:val="center"/>
          </w:tcPr>
          <w:p>
            <w:pPr>
              <w:widowControl/>
              <w:spacing w:before="100" w:beforeAutospacing="1" w:after="100" w:afterAutospacing="1"/>
              <w:ind w:left="0" w:leftChars="0" w:firstLine="0" w:firstLineChars="0"/>
              <w:jc w:val="center"/>
              <w:rPr>
                <w:rFonts w:ascii="Times New Roman" w:hAnsi="Times New Roman" w:eastAsia="仿宋_GB2312" w:cs="Times New Roman"/>
                <w:kern w:val="0"/>
                <w:sz w:val="24"/>
                <w:szCs w:val="24"/>
                <w:highlight w:val="none"/>
                <w:lang w:val="en-US" w:eastAsia="zh-CN" w:bidi="ar-SA"/>
              </w:rPr>
            </w:pPr>
            <w:r>
              <w:rPr>
                <w:rFonts w:ascii="Times New Roman" w:hAnsi="Times New Roman" w:eastAsia="仿宋_GB2312" w:cs="Times New Roman"/>
                <w:kern w:val="0"/>
                <w:sz w:val="24"/>
                <w:szCs w:val="24"/>
                <w:highlight w:val="none"/>
                <w:lang w:val="en-US" w:eastAsia="zh-CN" w:bidi="ar-SA"/>
              </w:rPr>
              <w:t>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0" w:hRule="atLeast"/>
          <w:jc w:val="center"/>
        </w:trPr>
        <w:tc>
          <w:tcPr>
            <w:tcW w:w="1713" w:type="pct"/>
            <w:vMerge w:val="continue"/>
            <w:shd w:val="clear" w:color="auto" w:fill="FFFFFF"/>
            <w:tcMar>
              <w:left w:w="108" w:type="dxa"/>
              <w:right w:w="108" w:type="dxa"/>
            </w:tcMar>
            <w:vAlign w:val="center"/>
          </w:tcPr>
          <w:p>
            <w:pPr>
              <w:spacing w:line="240" w:lineRule="auto"/>
              <w:ind w:firstLine="0" w:firstLineChars="0"/>
              <w:jc w:val="center"/>
              <w:rPr>
                <w:rFonts w:ascii="Times New Roman" w:hAnsi="Times New Roman" w:eastAsia="仿宋_GB2312" w:cs="Times New Roman"/>
                <w:sz w:val="21"/>
                <w:szCs w:val="22"/>
                <w:highlight w:val="none"/>
              </w:rPr>
            </w:pPr>
          </w:p>
        </w:tc>
        <w:tc>
          <w:tcPr>
            <w:tcW w:w="1381" w:type="pct"/>
            <w:shd w:val="clear" w:color="auto" w:fill="FFFFFF"/>
            <w:tcMar>
              <w:left w:w="108" w:type="dxa"/>
              <w:right w:w="108" w:type="dxa"/>
            </w:tcMar>
            <w:vAlign w:val="center"/>
          </w:tcPr>
          <w:p>
            <w:pPr>
              <w:widowControl/>
              <w:tabs>
                <w:tab w:val="left" w:pos="1039"/>
              </w:tabs>
              <w:spacing w:before="100" w:beforeAutospacing="1" w:after="100" w:afterAutospacing="1"/>
              <w:ind w:left="0" w:leftChars="0" w:firstLine="0" w:firstLineChars="0"/>
              <w:jc w:val="center"/>
              <w:rPr>
                <w:rFonts w:ascii="Times New Roman" w:hAnsi="Times New Roman" w:eastAsia="仿宋_GB2312" w:cs="Times New Roman"/>
                <w:kern w:val="0"/>
                <w:sz w:val="24"/>
                <w:szCs w:val="24"/>
                <w:highlight w:val="none"/>
                <w:lang w:val="en-US" w:eastAsia="zh-CN" w:bidi="ar-SA"/>
              </w:rPr>
            </w:pPr>
            <w:r>
              <w:rPr>
                <w:rFonts w:ascii="Times New Roman" w:hAnsi="Times New Roman" w:eastAsia="仿宋_GB2312" w:cs="Times New Roman"/>
                <w:kern w:val="0"/>
                <w:sz w:val="24"/>
                <w:szCs w:val="24"/>
                <w:highlight w:val="none"/>
                <w:lang w:val="en-US" w:eastAsia="zh-CN" w:bidi="ar-SA"/>
              </w:rPr>
              <w:t>Os</w:t>
            </w:r>
          </w:p>
        </w:tc>
        <w:tc>
          <w:tcPr>
            <w:tcW w:w="1905" w:type="pct"/>
            <w:shd w:val="clear" w:color="auto" w:fill="FFFFFF"/>
            <w:tcMar>
              <w:left w:w="108" w:type="dxa"/>
              <w:right w:w="108" w:type="dxa"/>
            </w:tcMar>
            <w:vAlign w:val="center"/>
          </w:tcPr>
          <w:p>
            <w:pPr>
              <w:widowControl/>
              <w:tabs>
                <w:tab w:val="left" w:pos="1039"/>
              </w:tabs>
              <w:spacing w:before="100" w:beforeAutospacing="1" w:after="100" w:afterAutospacing="1"/>
              <w:ind w:left="0" w:leftChars="0" w:firstLine="0" w:firstLineChars="0"/>
              <w:jc w:val="center"/>
              <w:rPr>
                <w:rFonts w:ascii="Times New Roman" w:hAnsi="Times New Roman" w:eastAsia="仿宋_GB2312" w:cs="Times New Roman"/>
                <w:kern w:val="0"/>
                <w:sz w:val="24"/>
                <w:szCs w:val="24"/>
                <w:highlight w:val="none"/>
                <w:lang w:val="en-US" w:eastAsia="zh-CN" w:bidi="ar-SA"/>
              </w:rPr>
            </w:pPr>
            <w:r>
              <w:rPr>
                <w:rFonts w:ascii="Times New Roman" w:hAnsi="Times New Roman" w:eastAsia="仿宋_GB2312" w:cs="Times New Roman"/>
                <w:kern w:val="0"/>
                <w:sz w:val="24"/>
                <w:szCs w:val="24"/>
                <w:highlight w:val="none"/>
                <w:lang w:val="en-US" w:eastAsia="zh-CN" w:bidi="ar-SA"/>
              </w:rPr>
              <w:t>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0" w:hRule="atLeast"/>
          <w:jc w:val="center"/>
        </w:trPr>
        <w:tc>
          <w:tcPr>
            <w:tcW w:w="1713" w:type="pct"/>
            <w:vMerge w:val="continue"/>
            <w:shd w:val="clear" w:color="auto" w:fill="FFFFFF"/>
            <w:tcMar>
              <w:left w:w="108" w:type="dxa"/>
              <w:right w:w="108" w:type="dxa"/>
            </w:tcMar>
            <w:vAlign w:val="center"/>
          </w:tcPr>
          <w:p>
            <w:pPr>
              <w:spacing w:line="240" w:lineRule="auto"/>
              <w:ind w:firstLine="0" w:firstLineChars="0"/>
              <w:jc w:val="center"/>
              <w:rPr>
                <w:rFonts w:ascii="Times New Roman" w:hAnsi="Times New Roman" w:eastAsia="仿宋_GB2312" w:cs="Times New Roman"/>
                <w:sz w:val="21"/>
                <w:szCs w:val="22"/>
                <w:highlight w:val="none"/>
              </w:rPr>
            </w:pPr>
          </w:p>
        </w:tc>
        <w:tc>
          <w:tcPr>
            <w:tcW w:w="1381" w:type="pct"/>
            <w:shd w:val="clear" w:color="auto" w:fill="FFFFFF"/>
            <w:tcMar>
              <w:left w:w="108" w:type="dxa"/>
              <w:right w:w="108" w:type="dxa"/>
            </w:tcMar>
            <w:vAlign w:val="center"/>
          </w:tcPr>
          <w:p>
            <w:pPr>
              <w:widowControl/>
              <w:spacing w:before="100" w:beforeAutospacing="1" w:after="100" w:afterAutospacing="1"/>
              <w:ind w:left="0" w:leftChars="0" w:firstLine="0" w:firstLineChars="0"/>
              <w:jc w:val="center"/>
              <w:rPr>
                <w:rFonts w:ascii="Times New Roman" w:hAnsi="Times New Roman" w:eastAsia="仿宋_GB2312" w:cs="Times New Roman"/>
                <w:kern w:val="0"/>
                <w:sz w:val="24"/>
                <w:szCs w:val="24"/>
                <w:highlight w:val="none"/>
                <w:lang w:val="en-US" w:eastAsia="zh-CN" w:bidi="ar-SA"/>
              </w:rPr>
            </w:pPr>
            <w:r>
              <w:rPr>
                <w:rFonts w:ascii="Times New Roman" w:hAnsi="Times New Roman" w:eastAsia="仿宋_GB2312" w:cs="Times New Roman"/>
                <w:kern w:val="0"/>
                <w:sz w:val="24"/>
                <w:szCs w:val="24"/>
                <w:highlight w:val="none"/>
                <w:lang w:val="en-US" w:eastAsia="zh-CN" w:bidi="ar-SA"/>
              </w:rPr>
              <w:t>Na</w:t>
            </w:r>
          </w:p>
        </w:tc>
        <w:tc>
          <w:tcPr>
            <w:tcW w:w="1905" w:type="pct"/>
            <w:shd w:val="clear" w:color="auto" w:fill="FFFFFF"/>
            <w:tcMar>
              <w:left w:w="108" w:type="dxa"/>
              <w:right w:w="108" w:type="dxa"/>
            </w:tcMar>
            <w:vAlign w:val="center"/>
          </w:tcPr>
          <w:p>
            <w:pPr>
              <w:widowControl/>
              <w:spacing w:before="100" w:beforeAutospacing="1" w:after="100" w:afterAutospacing="1"/>
              <w:ind w:left="0" w:leftChars="0" w:firstLine="0" w:firstLineChars="0"/>
              <w:jc w:val="center"/>
              <w:rPr>
                <w:rFonts w:ascii="Times New Roman" w:hAnsi="Times New Roman" w:eastAsia="仿宋_GB2312" w:cs="Times New Roman"/>
                <w:kern w:val="0"/>
                <w:sz w:val="24"/>
                <w:szCs w:val="24"/>
                <w:highlight w:val="none"/>
                <w:lang w:val="en-US" w:eastAsia="zh-CN" w:bidi="ar-SA"/>
              </w:rPr>
            </w:pPr>
            <w:r>
              <w:rPr>
                <w:rFonts w:ascii="Times New Roman" w:hAnsi="Times New Roman" w:eastAsia="仿宋_GB2312" w:cs="Times New Roman"/>
                <w:kern w:val="0"/>
                <w:sz w:val="24"/>
                <w:szCs w:val="24"/>
                <w:highlight w:val="none"/>
                <w:lang w:val="en-US" w:eastAsia="zh-CN" w:bidi="ar-SA"/>
              </w:rPr>
              <w:t>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0" w:hRule="atLeast"/>
          <w:jc w:val="center"/>
        </w:trPr>
        <w:tc>
          <w:tcPr>
            <w:tcW w:w="1713" w:type="pct"/>
            <w:vMerge w:val="continue"/>
            <w:shd w:val="clear" w:color="auto" w:fill="FFFFFF"/>
            <w:tcMar>
              <w:left w:w="108" w:type="dxa"/>
              <w:right w:w="108" w:type="dxa"/>
            </w:tcMar>
            <w:vAlign w:val="center"/>
          </w:tcPr>
          <w:p>
            <w:pPr>
              <w:spacing w:line="240" w:lineRule="auto"/>
              <w:ind w:firstLine="0" w:firstLineChars="0"/>
              <w:jc w:val="center"/>
              <w:rPr>
                <w:rFonts w:ascii="Times New Roman" w:hAnsi="Times New Roman" w:eastAsia="仿宋_GB2312" w:cs="Times New Roman"/>
                <w:sz w:val="21"/>
                <w:szCs w:val="22"/>
                <w:highlight w:val="none"/>
              </w:rPr>
            </w:pPr>
          </w:p>
        </w:tc>
        <w:tc>
          <w:tcPr>
            <w:tcW w:w="1381" w:type="pct"/>
            <w:shd w:val="clear" w:color="auto" w:fill="FFFFFF"/>
            <w:tcMar>
              <w:left w:w="108" w:type="dxa"/>
              <w:right w:w="108" w:type="dxa"/>
            </w:tcMar>
            <w:vAlign w:val="center"/>
          </w:tcPr>
          <w:p>
            <w:pPr>
              <w:widowControl/>
              <w:spacing w:before="100" w:beforeAutospacing="1" w:after="100" w:afterAutospacing="1"/>
              <w:ind w:left="0" w:leftChars="0" w:firstLine="0" w:firstLineChars="0"/>
              <w:jc w:val="center"/>
              <w:rPr>
                <w:rFonts w:ascii="Times New Roman" w:hAnsi="Times New Roman" w:eastAsia="仿宋_GB2312" w:cs="Times New Roman"/>
                <w:kern w:val="0"/>
                <w:sz w:val="24"/>
                <w:szCs w:val="24"/>
                <w:highlight w:val="none"/>
                <w:lang w:val="en-US" w:eastAsia="zh-CN" w:bidi="ar-SA"/>
              </w:rPr>
            </w:pPr>
            <w:r>
              <w:rPr>
                <w:rFonts w:ascii="Times New Roman" w:hAnsi="Times New Roman" w:eastAsia="仿宋_GB2312" w:cs="Times New Roman"/>
                <w:kern w:val="0"/>
                <w:sz w:val="24"/>
                <w:szCs w:val="24"/>
                <w:highlight w:val="none"/>
                <w:lang w:val="en-US" w:eastAsia="zh-CN" w:bidi="ar-SA"/>
              </w:rPr>
              <w:t>Te</w:t>
            </w:r>
          </w:p>
        </w:tc>
        <w:tc>
          <w:tcPr>
            <w:tcW w:w="1905" w:type="pct"/>
            <w:shd w:val="clear" w:color="auto" w:fill="FFFFFF"/>
            <w:tcMar>
              <w:left w:w="108" w:type="dxa"/>
              <w:right w:w="108" w:type="dxa"/>
            </w:tcMar>
            <w:vAlign w:val="center"/>
          </w:tcPr>
          <w:p>
            <w:pPr>
              <w:widowControl/>
              <w:spacing w:before="100" w:beforeAutospacing="1" w:after="100" w:afterAutospacing="1"/>
              <w:ind w:left="0" w:leftChars="0" w:firstLine="0" w:firstLineChars="0"/>
              <w:jc w:val="center"/>
              <w:rPr>
                <w:rFonts w:ascii="Times New Roman" w:hAnsi="Times New Roman" w:eastAsia="仿宋_GB2312" w:cs="Times New Roman"/>
                <w:kern w:val="0"/>
                <w:sz w:val="24"/>
                <w:szCs w:val="24"/>
                <w:highlight w:val="none"/>
                <w:lang w:val="en-US" w:eastAsia="zh-CN" w:bidi="ar-SA"/>
              </w:rPr>
            </w:pPr>
            <w:r>
              <w:rPr>
                <w:rFonts w:ascii="Times New Roman" w:hAnsi="Times New Roman" w:eastAsia="仿宋_GB2312" w:cs="Times New Roman"/>
                <w:kern w:val="0"/>
                <w:sz w:val="24"/>
                <w:szCs w:val="24"/>
                <w:highlight w:val="none"/>
                <w:lang w:val="en-US" w:eastAsia="zh-CN" w:bidi="ar-SA"/>
              </w:rPr>
              <w:t>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0" w:hRule="atLeast"/>
          <w:jc w:val="center"/>
        </w:trPr>
        <w:tc>
          <w:tcPr>
            <w:tcW w:w="1713" w:type="pct"/>
            <w:vMerge w:val="continue"/>
            <w:shd w:val="clear" w:color="auto" w:fill="FFFFFF"/>
            <w:tcMar>
              <w:left w:w="108" w:type="dxa"/>
              <w:right w:w="108" w:type="dxa"/>
            </w:tcMar>
            <w:vAlign w:val="center"/>
          </w:tcPr>
          <w:p>
            <w:pPr>
              <w:spacing w:line="240" w:lineRule="auto"/>
              <w:ind w:firstLine="0" w:firstLineChars="0"/>
              <w:jc w:val="center"/>
              <w:rPr>
                <w:rFonts w:ascii="Times New Roman" w:hAnsi="Times New Roman" w:eastAsia="仿宋_GB2312" w:cs="Times New Roman"/>
                <w:sz w:val="21"/>
                <w:szCs w:val="22"/>
                <w:highlight w:val="none"/>
              </w:rPr>
            </w:pPr>
          </w:p>
        </w:tc>
        <w:tc>
          <w:tcPr>
            <w:tcW w:w="1381" w:type="pct"/>
            <w:shd w:val="clear" w:color="auto" w:fill="FFFFFF"/>
            <w:tcMar>
              <w:left w:w="108" w:type="dxa"/>
              <w:right w:w="108" w:type="dxa"/>
            </w:tcMar>
            <w:vAlign w:val="center"/>
          </w:tcPr>
          <w:p>
            <w:pPr>
              <w:widowControl/>
              <w:spacing w:before="100" w:beforeAutospacing="1" w:after="100" w:afterAutospacing="1"/>
              <w:ind w:left="0" w:leftChars="0" w:firstLine="0" w:firstLineChars="0"/>
              <w:jc w:val="center"/>
              <w:rPr>
                <w:rFonts w:ascii="Times New Roman" w:hAnsi="Times New Roman" w:eastAsia="仿宋_GB2312" w:cs="Times New Roman"/>
                <w:kern w:val="0"/>
                <w:sz w:val="24"/>
                <w:szCs w:val="24"/>
                <w:highlight w:val="none"/>
                <w:lang w:val="en-US" w:eastAsia="zh-CN" w:bidi="ar-SA"/>
              </w:rPr>
            </w:pPr>
            <w:r>
              <w:rPr>
                <w:rFonts w:ascii="Times New Roman" w:hAnsi="Times New Roman" w:eastAsia="仿宋_GB2312" w:cs="Times New Roman"/>
                <w:kern w:val="0"/>
                <w:sz w:val="24"/>
                <w:szCs w:val="24"/>
                <w:highlight w:val="none"/>
                <w:lang w:val="en-US" w:eastAsia="zh-CN" w:bidi="ar-SA"/>
              </w:rPr>
              <w:t>Tl</w:t>
            </w:r>
          </w:p>
        </w:tc>
        <w:tc>
          <w:tcPr>
            <w:tcW w:w="1905" w:type="pct"/>
            <w:shd w:val="clear" w:color="auto" w:fill="FFFFFF"/>
            <w:tcMar>
              <w:left w:w="108" w:type="dxa"/>
              <w:right w:w="108" w:type="dxa"/>
            </w:tcMar>
            <w:vAlign w:val="center"/>
          </w:tcPr>
          <w:p>
            <w:pPr>
              <w:widowControl/>
              <w:spacing w:before="100" w:beforeAutospacing="1" w:after="100" w:afterAutospacing="1"/>
              <w:ind w:left="0" w:leftChars="0" w:firstLine="0" w:firstLineChars="0"/>
              <w:jc w:val="center"/>
              <w:rPr>
                <w:rFonts w:ascii="Times New Roman" w:hAnsi="Times New Roman" w:eastAsia="仿宋_GB2312" w:cs="Times New Roman"/>
                <w:kern w:val="0"/>
                <w:sz w:val="24"/>
                <w:szCs w:val="24"/>
                <w:highlight w:val="none"/>
                <w:lang w:val="en-US" w:eastAsia="zh-CN" w:bidi="ar-SA"/>
              </w:rPr>
            </w:pPr>
            <w:r>
              <w:rPr>
                <w:rFonts w:ascii="Times New Roman" w:hAnsi="Times New Roman" w:eastAsia="仿宋_GB2312" w:cs="Times New Roman"/>
                <w:kern w:val="0"/>
                <w:sz w:val="24"/>
                <w:szCs w:val="24"/>
                <w:highlight w:val="none"/>
                <w:lang w:val="en-US" w:eastAsia="zh-CN" w:bidi="ar-SA"/>
              </w:rPr>
              <w:t>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0" w:hRule="atLeast"/>
          <w:jc w:val="center"/>
        </w:trPr>
        <w:tc>
          <w:tcPr>
            <w:tcW w:w="1713" w:type="pct"/>
            <w:vMerge w:val="continue"/>
            <w:shd w:val="clear" w:color="auto" w:fill="FFFFFF"/>
            <w:tcMar>
              <w:left w:w="108" w:type="dxa"/>
              <w:right w:w="108" w:type="dxa"/>
            </w:tcMar>
            <w:vAlign w:val="center"/>
          </w:tcPr>
          <w:p>
            <w:pPr>
              <w:spacing w:line="240" w:lineRule="auto"/>
              <w:ind w:firstLine="0" w:firstLineChars="0"/>
              <w:jc w:val="center"/>
              <w:rPr>
                <w:rFonts w:ascii="Times New Roman" w:hAnsi="Times New Roman" w:eastAsia="仿宋_GB2312" w:cs="Times New Roman"/>
                <w:sz w:val="21"/>
                <w:szCs w:val="22"/>
                <w:highlight w:val="none"/>
              </w:rPr>
            </w:pPr>
          </w:p>
        </w:tc>
        <w:tc>
          <w:tcPr>
            <w:tcW w:w="1381" w:type="pct"/>
            <w:shd w:val="clear" w:color="auto" w:fill="FFFFFF"/>
            <w:tcMar>
              <w:left w:w="108" w:type="dxa"/>
              <w:right w:w="108" w:type="dxa"/>
            </w:tcMar>
            <w:vAlign w:val="center"/>
          </w:tcPr>
          <w:p>
            <w:pPr>
              <w:widowControl/>
              <w:spacing w:before="100" w:beforeAutospacing="1" w:after="100" w:afterAutospacing="1"/>
              <w:ind w:left="0" w:leftChars="0" w:firstLine="0" w:firstLineChars="0"/>
              <w:jc w:val="center"/>
              <w:rPr>
                <w:rFonts w:ascii="Times New Roman" w:hAnsi="Times New Roman" w:eastAsia="仿宋_GB2312" w:cs="Times New Roman"/>
                <w:kern w:val="0"/>
                <w:sz w:val="24"/>
                <w:szCs w:val="24"/>
                <w:highlight w:val="none"/>
                <w:lang w:val="en-US" w:eastAsia="zh-CN" w:bidi="ar-SA"/>
              </w:rPr>
            </w:pPr>
            <w:r>
              <w:rPr>
                <w:rFonts w:ascii="Times New Roman" w:hAnsi="Times New Roman" w:eastAsia="仿宋_GB2312" w:cs="Times New Roman"/>
                <w:kern w:val="0"/>
                <w:sz w:val="24"/>
                <w:szCs w:val="24"/>
                <w:highlight w:val="none"/>
                <w:lang w:val="en-US" w:eastAsia="zh-CN" w:bidi="ar-SA"/>
              </w:rPr>
              <w:t>Ti</w:t>
            </w:r>
          </w:p>
        </w:tc>
        <w:tc>
          <w:tcPr>
            <w:tcW w:w="1905" w:type="pct"/>
            <w:shd w:val="clear" w:color="auto" w:fill="FFFFFF"/>
            <w:tcMar>
              <w:left w:w="108" w:type="dxa"/>
              <w:right w:w="108" w:type="dxa"/>
            </w:tcMar>
            <w:vAlign w:val="center"/>
          </w:tcPr>
          <w:p>
            <w:pPr>
              <w:widowControl/>
              <w:spacing w:before="100" w:beforeAutospacing="1" w:after="100" w:afterAutospacing="1"/>
              <w:ind w:left="0" w:leftChars="0" w:firstLine="0" w:firstLineChars="0"/>
              <w:jc w:val="center"/>
              <w:rPr>
                <w:rFonts w:ascii="Times New Roman" w:hAnsi="Times New Roman" w:eastAsia="仿宋_GB2312" w:cs="Times New Roman"/>
                <w:kern w:val="0"/>
                <w:sz w:val="24"/>
                <w:szCs w:val="24"/>
                <w:highlight w:val="none"/>
                <w:lang w:val="en-US" w:eastAsia="zh-CN" w:bidi="ar-SA"/>
              </w:rPr>
            </w:pPr>
            <w:r>
              <w:rPr>
                <w:rFonts w:ascii="Times New Roman" w:hAnsi="Times New Roman" w:eastAsia="仿宋_GB2312" w:cs="Times New Roman"/>
                <w:kern w:val="0"/>
                <w:sz w:val="24"/>
                <w:szCs w:val="24"/>
                <w:highlight w:val="none"/>
                <w:lang w:val="en-US" w:eastAsia="zh-CN" w:bidi="ar-SA"/>
              </w:rPr>
              <w:t>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0" w:hRule="atLeast"/>
          <w:jc w:val="center"/>
        </w:trPr>
        <w:tc>
          <w:tcPr>
            <w:tcW w:w="1713" w:type="pct"/>
            <w:vMerge w:val="continue"/>
            <w:shd w:val="clear" w:color="auto" w:fill="FFFFFF"/>
            <w:tcMar>
              <w:left w:w="108" w:type="dxa"/>
              <w:right w:w="108" w:type="dxa"/>
            </w:tcMar>
            <w:vAlign w:val="center"/>
          </w:tcPr>
          <w:p>
            <w:pPr>
              <w:spacing w:line="240" w:lineRule="auto"/>
              <w:ind w:firstLine="0" w:firstLineChars="0"/>
              <w:jc w:val="center"/>
              <w:rPr>
                <w:rFonts w:ascii="Times New Roman" w:hAnsi="Times New Roman" w:eastAsia="仿宋_GB2312" w:cs="Times New Roman"/>
                <w:sz w:val="21"/>
                <w:szCs w:val="22"/>
                <w:highlight w:val="none"/>
              </w:rPr>
            </w:pPr>
          </w:p>
        </w:tc>
        <w:tc>
          <w:tcPr>
            <w:tcW w:w="1381" w:type="pct"/>
            <w:shd w:val="clear" w:color="auto" w:fill="FFFFFF"/>
            <w:tcMar>
              <w:left w:w="108" w:type="dxa"/>
              <w:right w:w="108" w:type="dxa"/>
            </w:tcMar>
            <w:vAlign w:val="center"/>
          </w:tcPr>
          <w:p>
            <w:pPr>
              <w:widowControl/>
              <w:spacing w:before="100" w:beforeAutospacing="1" w:after="100" w:afterAutospacing="1"/>
              <w:ind w:left="0" w:leftChars="0" w:firstLine="0" w:firstLineChars="0"/>
              <w:jc w:val="center"/>
              <w:rPr>
                <w:rFonts w:ascii="Times New Roman" w:hAnsi="Times New Roman" w:eastAsia="仿宋_GB2312" w:cs="Times New Roman"/>
                <w:kern w:val="0"/>
                <w:sz w:val="24"/>
                <w:szCs w:val="24"/>
                <w:highlight w:val="none"/>
                <w:lang w:val="en-US" w:eastAsia="zh-CN" w:bidi="ar-SA"/>
              </w:rPr>
            </w:pPr>
            <w:r>
              <w:rPr>
                <w:rFonts w:ascii="Times New Roman" w:hAnsi="Times New Roman" w:eastAsia="仿宋_GB2312" w:cs="Times New Roman"/>
                <w:kern w:val="0"/>
                <w:sz w:val="24"/>
                <w:szCs w:val="24"/>
                <w:highlight w:val="none"/>
                <w:lang w:val="en-US" w:eastAsia="zh-CN" w:bidi="ar-SA"/>
              </w:rPr>
              <w:t>W</w:t>
            </w:r>
          </w:p>
        </w:tc>
        <w:tc>
          <w:tcPr>
            <w:tcW w:w="1905" w:type="pct"/>
            <w:shd w:val="clear" w:color="auto" w:fill="FFFFFF"/>
            <w:tcMar>
              <w:left w:w="108" w:type="dxa"/>
              <w:right w:w="108" w:type="dxa"/>
            </w:tcMar>
            <w:vAlign w:val="center"/>
          </w:tcPr>
          <w:p>
            <w:pPr>
              <w:widowControl/>
              <w:spacing w:before="100" w:beforeAutospacing="1" w:after="100" w:afterAutospacing="1"/>
              <w:ind w:left="0" w:leftChars="0" w:firstLine="0" w:firstLineChars="0"/>
              <w:jc w:val="center"/>
              <w:rPr>
                <w:rFonts w:ascii="Times New Roman" w:hAnsi="Times New Roman" w:eastAsia="仿宋_GB2312" w:cs="Times New Roman"/>
                <w:kern w:val="0"/>
                <w:sz w:val="24"/>
                <w:szCs w:val="24"/>
                <w:highlight w:val="none"/>
                <w:lang w:val="en-US" w:eastAsia="zh-CN" w:bidi="ar-SA"/>
              </w:rPr>
            </w:pPr>
            <w:r>
              <w:rPr>
                <w:rFonts w:ascii="Times New Roman" w:hAnsi="Times New Roman" w:eastAsia="仿宋_GB2312" w:cs="Times New Roman"/>
                <w:kern w:val="0"/>
                <w:sz w:val="24"/>
                <w:szCs w:val="24"/>
                <w:highlight w:val="none"/>
                <w:lang w:val="en-US" w:eastAsia="zh-CN" w:bidi="ar-SA"/>
              </w:rPr>
              <w:t>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0" w:hRule="atLeast"/>
          <w:jc w:val="center"/>
        </w:trPr>
        <w:tc>
          <w:tcPr>
            <w:tcW w:w="1713" w:type="pct"/>
            <w:vMerge w:val="continue"/>
            <w:shd w:val="clear" w:color="auto" w:fill="FFFFFF"/>
            <w:tcMar>
              <w:left w:w="108" w:type="dxa"/>
              <w:right w:w="108" w:type="dxa"/>
            </w:tcMar>
            <w:vAlign w:val="center"/>
          </w:tcPr>
          <w:p>
            <w:pPr>
              <w:spacing w:line="240" w:lineRule="auto"/>
              <w:ind w:firstLine="0" w:firstLineChars="0"/>
              <w:jc w:val="center"/>
              <w:rPr>
                <w:rFonts w:ascii="Times New Roman" w:hAnsi="Times New Roman" w:eastAsia="仿宋_GB2312" w:cs="Times New Roman"/>
                <w:sz w:val="21"/>
                <w:szCs w:val="22"/>
                <w:highlight w:val="none"/>
              </w:rPr>
            </w:pPr>
          </w:p>
        </w:tc>
        <w:tc>
          <w:tcPr>
            <w:tcW w:w="1381" w:type="pct"/>
            <w:shd w:val="clear" w:color="auto" w:fill="FFFFFF"/>
            <w:tcMar>
              <w:left w:w="108" w:type="dxa"/>
              <w:right w:w="108" w:type="dxa"/>
            </w:tcMar>
            <w:vAlign w:val="center"/>
          </w:tcPr>
          <w:p>
            <w:pPr>
              <w:widowControl/>
              <w:spacing w:before="100" w:beforeAutospacing="1" w:after="100" w:afterAutospacing="1"/>
              <w:ind w:left="0" w:leftChars="0" w:firstLine="0" w:firstLineChars="0"/>
              <w:jc w:val="center"/>
              <w:rPr>
                <w:rFonts w:ascii="Times New Roman" w:hAnsi="Times New Roman" w:eastAsia="仿宋_GB2312" w:cs="Times New Roman"/>
                <w:kern w:val="0"/>
                <w:sz w:val="24"/>
                <w:szCs w:val="24"/>
                <w:highlight w:val="none"/>
                <w:lang w:val="en-US" w:eastAsia="zh-CN" w:bidi="ar-SA"/>
              </w:rPr>
            </w:pPr>
            <w:r>
              <w:rPr>
                <w:rFonts w:ascii="Times New Roman" w:hAnsi="Times New Roman" w:eastAsia="仿宋_GB2312" w:cs="Times New Roman"/>
                <w:kern w:val="0"/>
                <w:sz w:val="24"/>
                <w:szCs w:val="24"/>
                <w:highlight w:val="none"/>
                <w:lang w:val="en-US" w:eastAsia="zh-CN" w:bidi="ar-SA"/>
              </w:rPr>
              <w:t>Zr</w:t>
            </w:r>
          </w:p>
        </w:tc>
        <w:tc>
          <w:tcPr>
            <w:tcW w:w="1905" w:type="pct"/>
            <w:shd w:val="clear" w:color="auto" w:fill="FFFFFF"/>
            <w:tcMar>
              <w:left w:w="108" w:type="dxa"/>
              <w:right w:w="108" w:type="dxa"/>
            </w:tcMar>
            <w:vAlign w:val="center"/>
          </w:tcPr>
          <w:p>
            <w:pPr>
              <w:widowControl/>
              <w:spacing w:before="100" w:beforeAutospacing="1" w:after="100" w:afterAutospacing="1"/>
              <w:ind w:left="0" w:leftChars="0" w:firstLine="0" w:firstLineChars="0"/>
              <w:jc w:val="center"/>
              <w:rPr>
                <w:rFonts w:ascii="Times New Roman" w:hAnsi="Times New Roman" w:eastAsia="仿宋_GB2312" w:cs="Times New Roman"/>
                <w:kern w:val="0"/>
                <w:sz w:val="24"/>
                <w:szCs w:val="24"/>
                <w:highlight w:val="none"/>
                <w:lang w:val="en-US" w:eastAsia="zh-CN" w:bidi="ar-SA"/>
              </w:rPr>
            </w:pPr>
            <w:r>
              <w:rPr>
                <w:rFonts w:ascii="Times New Roman" w:hAnsi="Times New Roman" w:eastAsia="仿宋_GB2312" w:cs="Times New Roman"/>
                <w:kern w:val="0"/>
                <w:sz w:val="24"/>
                <w:szCs w:val="24"/>
                <w:highlight w:val="none"/>
                <w:lang w:val="en-US" w:eastAsia="zh-CN" w:bidi="ar-SA"/>
              </w:rPr>
              <w:t>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0" w:hRule="atLeast"/>
          <w:jc w:val="center"/>
        </w:trPr>
        <w:tc>
          <w:tcPr>
            <w:tcW w:w="3094" w:type="pct"/>
            <w:gridSpan w:val="2"/>
            <w:shd w:val="clear" w:color="auto" w:fill="FFFFFF"/>
            <w:tcMar>
              <w:left w:w="108" w:type="dxa"/>
              <w:right w:w="108" w:type="dxa"/>
            </w:tcMar>
            <w:vAlign w:val="center"/>
          </w:tcPr>
          <w:p>
            <w:pPr>
              <w:widowControl/>
              <w:spacing w:before="100" w:beforeAutospacing="1" w:after="100" w:afterAutospacing="1"/>
              <w:ind w:left="0" w:leftChars="0" w:firstLine="0" w:firstLineChars="0"/>
              <w:jc w:val="center"/>
              <w:rPr>
                <w:rFonts w:ascii="Times New Roman" w:hAnsi="Times New Roman" w:eastAsia="仿宋_GB2312" w:cs="Times New Roman"/>
                <w:kern w:val="0"/>
                <w:sz w:val="24"/>
                <w:szCs w:val="24"/>
                <w:highlight w:val="none"/>
                <w:lang w:val="en-US" w:eastAsia="zh-CN" w:bidi="ar-SA"/>
              </w:rPr>
            </w:pPr>
            <w:r>
              <w:rPr>
                <w:rFonts w:ascii="Times New Roman" w:hAnsi="Times New Roman" w:eastAsia="仿宋_GB2312" w:cs="Times New Roman"/>
                <w:kern w:val="0"/>
                <w:sz w:val="24"/>
                <w:szCs w:val="24"/>
                <w:highlight w:val="none"/>
                <w:lang w:val="en-US" w:eastAsia="zh-CN" w:bidi="ar-SA"/>
              </w:rPr>
              <w:t>杂质元素</w:t>
            </w:r>
            <w:r>
              <w:rPr>
                <w:rFonts w:hint="default" w:ascii="Times New Roman" w:hAnsi="Times New Roman" w:eastAsia="仿宋_GB2312" w:cs="Times New Roman"/>
                <w:kern w:val="0"/>
                <w:sz w:val="24"/>
                <w:szCs w:val="24"/>
                <w:highlight w:val="none"/>
                <w:lang w:val="en-US" w:eastAsia="zh-CN" w:bidi="ar-SA"/>
              </w:rPr>
              <w:t>的总</w:t>
            </w:r>
            <w:r>
              <w:rPr>
                <w:rFonts w:ascii="Times New Roman" w:hAnsi="Times New Roman" w:eastAsia="仿宋_GB2312" w:cs="Times New Roman"/>
                <w:kern w:val="0"/>
                <w:sz w:val="24"/>
                <w:szCs w:val="24"/>
                <w:highlight w:val="none"/>
                <w:lang w:val="en-US" w:eastAsia="zh-CN" w:bidi="ar-SA"/>
              </w:rPr>
              <w:t>量</w:t>
            </w:r>
            <w:r>
              <w:rPr>
                <w:rFonts w:hint="default" w:ascii="Times New Roman" w:hAnsi="Times New Roman" w:cs="Times New Roman"/>
                <w:kern w:val="0"/>
                <w:sz w:val="24"/>
                <w:szCs w:val="24"/>
                <w:highlight w:val="none"/>
                <w:lang w:val="en-US" w:eastAsia="zh-CN" w:bidi="ar-SA"/>
              </w:rPr>
              <w:t xml:space="preserve">（质量分数） </w:t>
            </w:r>
            <w:r>
              <w:rPr>
                <w:rFonts w:ascii="Times New Roman" w:hAnsi="Times New Roman" w:eastAsia="仿宋_GB2312" w:cs="Times New Roman"/>
                <w:kern w:val="0"/>
                <w:sz w:val="24"/>
                <w:szCs w:val="24"/>
                <w:highlight w:val="none"/>
                <w:lang w:val="en-US" w:eastAsia="zh-CN" w:bidi="ar-SA"/>
              </w:rPr>
              <w:t>≤</w:t>
            </w:r>
          </w:p>
        </w:tc>
        <w:tc>
          <w:tcPr>
            <w:tcW w:w="1905" w:type="pct"/>
            <w:shd w:val="clear" w:color="auto" w:fill="FFFFFF"/>
            <w:tcMar>
              <w:left w:w="108" w:type="dxa"/>
              <w:right w:w="108" w:type="dxa"/>
            </w:tcMar>
            <w:vAlign w:val="center"/>
          </w:tcPr>
          <w:p>
            <w:pPr>
              <w:widowControl/>
              <w:spacing w:before="100" w:beforeAutospacing="1" w:after="100" w:afterAutospacing="1"/>
              <w:ind w:left="0" w:leftChars="0" w:firstLine="0" w:firstLineChars="0"/>
              <w:jc w:val="center"/>
              <w:rPr>
                <w:rFonts w:ascii="Times New Roman" w:hAnsi="Times New Roman" w:eastAsia="仿宋_GB2312" w:cs="Times New Roman"/>
                <w:kern w:val="0"/>
                <w:sz w:val="24"/>
                <w:szCs w:val="24"/>
                <w:highlight w:val="none"/>
                <w:lang w:val="en-US" w:eastAsia="zh-CN" w:bidi="ar-SA"/>
              </w:rPr>
            </w:pPr>
            <w:r>
              <w:rPr>
                <w:rFonts w:ascii="Times New Roman" w:hAnsi="Times New Roman" w:eastAsia="仿宋_GB2312" w:cs="Times New Roman"/>
                <w:kern w:val="0"/>
                <w:sz w:val="24"/>
                <w:szCs w:val="24"/>
                <w:highlight w:val="none"/>
                <w:lang w:val="en-US" w:eastAsia="zh-CN" w:bidi="ar-SA"/>
              </w:rPr>
              <w:t>0.05</w:t>
            </w:r>
          </w:p>
        </w:tc>
      </w:tr>
    </w:tbl>
    <w:p>
      <w:pPr>
        <w:pStyle w:val="2"/>
        <w:spacing w:line="560" w:lineRule="exact"/>
        <w:ind w:left="0" w:leftChars="0" w:firstLine="640" w:firstLineChars="200"/>
        <w:rPr>
          <w:rFonts w:hint="default" w:eastAsia="仿宋_GB2312" w:cs="Times New Roman"/>
          <w:sz w:val="32"/>
          <w:szCs w:val="32"/>
          <w:highlight w:val="none"/>
          <w:lang w:val="en-US" w:eastAsia="zh-CN"/>
        </w:rPr>
      </w:pPr>
      <w:r>
        <w:rPr>
          <w:rFonts w:hint="default" w:eastAsia="仿宋_GB2312" w:cs="Times New Roman"/>
          <w:sz w:val="32"/>
          <w:szCs w:val="32"/>
          <w:highlight w:val="none"/>
          <w:lang w:val="en-US" w:eastAsia="zh-CN"/>
        </w:rPr>
        <w:t>4.2 灼烧损失量</w:t>
      </w:r>
    </w:p>
    <w:p>
      <w:pPr>
        <w:pStyle w:val="2"/>
        <w:spacing w:line="560" w:lineRule="exact"/>
        <w:ind w:left="0" w:leftChars="0" w:firstLine="640" w:firstLineChars="200"/>
        <w:rPr>
          <w:rFonts w:hint="default"/>
          <w:highlight w:val="none"/>
          <w:lang w:val="en-US" w:eastAsia="zh-CN"/>
        </w:rPr>
      </w:pPr>
      <w:r>
        <w:rPr>
          <w:rFonts w:hint="default" w:eastAsia="仿宋_GB2312" w:cs="Times New Roman"/>
          <w:sz w:val="32"/>
          <w:szCs w:val="32"/>
          <w:highlight w:val="none"/>
          <w:lang w:val="en-US" w:eastAsia="zh-CN"/>
        </w:rPr>
        <w:t>国产海绵铂、铂粉灼烧损失量应不大于0.10%，进口海绵铂、铂粉灼烧损失量应不大于0.05%。</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仿宋_GB2312" w:cs="Times New Roman"/>
          <w:sz w:val="32"/>
          <w:szCs w:val="32"/>
          <w:highlight w:val="none"/>
        </w:rPr>
      </w:pPr>
      <w:r>
        <w:rPr>
          <w:rFonts w:ascii="Times New Roman" w:hAnsi="Times New Roman" w:eastAsia="仿宋_GB2312" w:cs="Times New Roman"/>
          <w:sz w:val="32"/>
          <w:szCs w:val="32"/>
          <w:highlight w:val="none"/>
        </w:rPr>
        <w:t xml:space="preserve">5 </w:t>
      </w:r>
      <w:r>
        <w:rPr>
          <w:rFonts w:hint="default" w:ascii="Times New Roman" w:hAnsi="Times New Roman" w:eastAsia="仿宋_GB2312" w:cs="Times New Roman"/>
          <w:sz w:val="32"/>
          <w:szCs w:val="32"/>
          <w:highlight w:val="none"/>
        </w:rPr>
        <w:t>试验方法与检验规则</w:t>
      </w:r>
    </w:p>
    <w:p>
      <w:pPr>
        <w:keepNext w:val="0"/>
        <w:keepLines w:val="0"/>
        <w:pageBreakBefore w:val="0"/>
        <w:widowControl w:val="0"/>
        <w:kinsoku/>
        <w:wordWrap/>
        <w:overflowPunct/>
        <w:topLinePunct w:val="0"/>
        <w:autoSpaceDE/>
        <w:autoSpaceDN/>
        <w:bidi w:val="0"/>
        <w:adjustRightInd/>
        <w:snapToGrid/>
        <w:spacing w:line="560" w:lineRule="exact"/>
        <w:ind w:firstLine="629"/>
        <w:textAlignment w:val="auto"/>
        <w:rPr>
          <w:rFonts w:ascii="Times New Roman" w:hAnsi="Times New Roman" w:eastAsia="仿宋_GB2312" w:cs="Times New Roman"/>
          <w:sz w:val="32"/>
          <w:szCs w:val="32"/>
          <w:highlight w:val="none"/>
        </w:rPr>
      </w:pPr>
      <w:r>
        <w:rPr>
          <w:rFonts w:ascii="Times New Roman" w:hAnsi="Times New Roman" w:eastAsia="仿宋_GB2312" w:cs="Times New Roman"/>
          <w:sz w:val="32"/>
          <w:szCs w:val="32"/>
          <w:highlight w:val="none"/>
        </w:rPr>
        <w:t xml:space="preserve">5.1 </w:t>
      </w:r>
      <w:r>
        <w:rPr>
          <w:rFonts w:hint="default" w:ascii="Times New Roman" w:hAnsi="Times New Roman" w:eastAsia="仿宋_GB2312" w:cs="Times New Roman"/>
          <w:sz w:val="32"/>
          <w:szCs w:val="32"/>
          <w:highlight w:val="none"/>
          <w:lang w:val="en-US" w:eastAsia="zh-CN"/>
        </w:rPr>
        <w:t>取样和制样按照交易所相关作业指导文件进行</w:t>
      </w:r>
      <w:r>
        <w:rPr>
          <w:rFonts w:hint="default" w:ascii="Times New Roman" w:hAnsi="Times New Roman" w:eastAsia="仿宋_GB2312" w:cs="Times New Roman"/>
          <w:sz w:val="32"/>
          <w:szCs w:val="32"/>
          <w:highlight w:val="none"/>
        </w:rPr>
        <w:t>。</w:t>
      </w:r>
    </w:p>
    <w:p>
      <w:pPr>
        <w:keepNext w:val="0"/>
        <w:keepLines w:val="0"/>
        <w:pageBreakBefore w:val="0"/>
        <w:widowControl w:val="0"/>
        <w:kinsoku/>
        <w:wordWrap/>
        <w:overflowPunct/>
        <w:topLinePunct w:val="0"/>
        <w:autoSpaceDE/>
        <w:autoSpaceDN/>
        <w:bidi w:val="0"/>
        <w:adjustRightInd/>
        <w:snapToGrid/>
        <w:spacing w:line="560" w:lineRule="exact"/>
        <w:ind w:firstLine="629"/>
        <w:textAlignment w:val="auto"/>
        <w:rPr>
          <w:rFonts w:hint="default" w:ascii="Times New Roman" w:hAnsi="Times New Roman" w:eastAsia="仿宋_GB2312" w:cs="Times New Roman"/>
          <w:kern w:val="2"/>
          <w:sz w:val="32"/>
          <w:szCs w:val="32"/>
          <w:highlight w:val="none"/>
          <w:lang w:val="en-US" w:eastAsia="zh-CN" w:bidi="ar-SA"/>
        </w:rPr>
      </w:pPr>
      <w:r>
        <w:rPr>
          <w:rFonts w:ascii="Times New Roman" w:hAnsi="Times New Roman" w:eastAsia="仿宋_GB2312" w:cs="Times New Roman"/>
          <w:sz w:val="32"/>
          <w:szCs w:val="32"/>
          <w:highlight w:val="none"/>
        </w:rPr>
        <w:t xml:space="preserve">5.2 </w:t>
      </w:r>
      <w:r>
        <w:rPr>
          <w:rFonts w:hint="default" w:ascii="Times New Roman" w:hAnsi="Times New Roman" w:eastAsia="仿宋_GB2312" w:cs="Times New Roman"/>
          <w:sz w:val="32"/>
          <w:szCs w:val="32"/>
          <w:highlight w:val="none"/>
          <w:lang w:val="en-US" w:eastAsia="zh-CN"/>
        </w:rPr>
        <w:t>国产铂杂质元素含量的测定按照</w:t>
      </w:r>
      <w:r>
        <w:rPr>
          <w:rFonts w:hint="default" w:ascii="Times New Roman" w:hAnsi="Times New Roman" w:eastAsia="仿宋_GB2312" w:cs="Times New Roman"/>
          <w:kern w:val="2"/>
          <w:sz w:val="32"/>
          <w:szCs w:val="32"/>
          <w:highlight w:val="none"/>
          <w:lang w:val="en-US" w:eastAsia="zh-CN" w:bidi="ar-SA"/>
        </w:rPr>
        <w:t>YS/T 1379</w:t>
      </w:r>
      <w:r>
        <w:rPr>
          <w:rFonts w:hint="default" w:ascii="Times New Roman" w:hAnsi="Times New Roman" w:eastAsia="仿宋_GB2312" w:cs="Times New Roman"/>
          <w:sz w:val="32"/>
          <w:szCs w:val="32"/>
          <w:highlight w:val="none"/>
          <w:lang w:val="en-US" w:eastAsia="zh-CN"/>
        </w:rPr>
        <w:t>—</w:t>
      </w:r>
      <w:r>
        <w:rPr>
          <w:rFonts w:hint="default" w:ascii="Times New Roman" w:hAnsi="Times New Roman" w:eastAsia="仿宋_GB2312" w:cs="Times New Roman"/>
          <w:kern w:val="2"/>
          <w:sz w:val="32"/>
          <w:szCs w:val="32"/>
          <w:highlight w:val="none"/>
          <w:lang w:val="en-US" w:eastAsia="zh-CN" w:bidi="ar-SA"/>
        </w:rPr>
        <w:t>2020的规定执行；</w:t>
      </w:r>
    </w:p>
    <w:p>
      <w:pPr>
        <w:keepNext w:val="0"/>
        <w:keepLines w:val="0"/>
        <w:pageBreakBefore w:val="0"/>
        <w:widowControl w:val="0"/>
        <w:kinsoku/>
        <w:wordWrap/>
        <w:overflowPunct/>
        <w:topLinePunct w:val="0"/>
        <w:autoSpaceDE/>
        <w:autoSpaceDN/>
        <w:bidi w:val="0"/>
        <w:adjustRightInd/>
        <w:snapToGrid/>
        <w:spacing w:line="560" w:lineRule="exact"/>
        <w:ind w:firstLine="629"/>
        <w:textAlignment w:val="auto"/>
        <w:rPr>
          <w:rFonts w:hint="default" w:ascii="Times New Roman" w:hAnsi="Times New Roman" w:eastAsia="仿宋_GB2312" w:cs="Times New Roman"/>
          <w:kern w:val="2"/>
          <w:sz w:val="32"/>
          <w:szCs w:val="32"/>
          <w:highlight w:val="none"/>
          <w:lang w:val="en-US" w:eastAsia="zh-CN" w:bidi="ar-SA"/>
        </w:rPr>
      </w:pPr>
      <w:r>
        <w:rPr>
          <w:rFonts w:ascii="Times New Roman" w:hAnsi="Times New Roman" w:eastAsia="仿宋_GB2312" w:cs="Times New Roman"/>
          <w:sz w:val="32"/>
          <w:szCs w:val="32"/>
          <w:highlight w:val="none"/>
        </w:rPr>
        <w:t>5.</w:t>
      </w:r>
      <w:r>
        <w:rPr>
          <w:rFonts w:hint="default" w:ascii="Times New Roman" w:hAnsi="Times New Roman" w:eastAsia="仿宋_GB2312" w:cs="Times New Roman"/>
          <w:sz w:val="32"/>
          <w:szCs w:val="32"/>
          <w:highlight w:val="none"/>
          <w:lang w:val="en-US" w:eastAsia="zh-CN"/>
        </w:rPr>
        <w:t>3</w:t>
      </w:r>
      <w:r>
        <w:rPr>
          <w:rFonts w:ascii="Times New Roman" w:hAnsi="Times New Roman" w:eastAsia="仿宋_GB2312" w:cs="Times New Roman"/>
          <w:sz w:val="32"/>
          <w:szCs w:val="32"/>
          <w:highlight w:val="none"/>
        </w:rPr>
        <w:t xml:space="preserve"> </w:t>
      </w:r>
      <w:r>
        <w:rPr>
          <w:rFonts w:hint="default" w:ascii="Times New Roman" w:hAnsi="Times New Roman" w:eastAsia="仿宋_GB2312" w:cs="Times New Roman"/>
          <w:sz w:val="32"/>
          <w:szCs w:val="32"/>
          <w:highlight w:val="none"/>
          <w:lang w:val="en-US" w:eastAsia="zh-CN"/>
        </w:rPr>
        <w:t>进口铂杂质元素含量的测定按照</w:t>
      </w:r>
      <w:r>
        <w:rPr>
          <w:rFonts w:hint="default" w:ascii="Times New Roman" w:hAnsi="Times New Roman" w:eastAsia="仿宋_GB2312" w:cs="Times New Roman"/>
          <w:kern w:val="2"/>
          <w:sz w:val="32"/>
          <w:szCs w:val="32"/>
          <w:highlight w:val="none"/>
          <w:lang w:val="en-US" w:eastAsia="zh-CN" w:bidi="ar-SA"/>
        </w:rPr>
        <w:t>YS/T 1493</w:t>
      </w:r>
      <w:r>
        <w:rPr>
          <w:rFonts w:hint="default" w:ascii="Times New Roman" w:hAnsi="Times New Roman" w:eastAsia="仿宋_GB2312" w:cs="Times New Roman"/>
          <w:sz w:val="32"/>
          <w:szCs w:val="32"/>
          <w:highlight w:val="none"/>
          <w:lang w:val="en-US" w:eastAsia="zh-CN"/>
        </w:rPr>
        <w:t>—</w:t>
      </w:r>
      <w:r>
        <w:rPr>
          <w:rFonts w:hint="default" w:ascii="Times New Roman" w:hAnsi="Times New Roman" w:eastAsia="仿宋_GB2312" w:cs="Times New Roman"/>
          <w:kern w:val="2"/>
          <w:sz w:val="32"/>
          <w:szCs w:val="32"/>
          <w:highlight w:val="none"/>
          <w:lang w:val="en-US" w:eastAsia="zh-CN" w:bidi="ar-SA"/>
        </w:rPr>
        <w:t>2021的规定执行；</w:t>
      </w:r>
    </w:p>
    <w:p>
      <w:pPr>
        <w:keepNext w:val="0"/>
        <w:keepLines w:val="0"/>
        <w:pageBreakBefore w:val="0"/>
        <w:widowControl w:val="0"/>
        <w:kinsoku/>
        <w:wordWrap/>
        <w:overflowPunct/>
        <w:topLinePunct w:val="0"/>
        <w:autoSpaceDE/>
        <w:autoSpaceDN/>
        <w:bidi w:val="0"/>
        <w:adjustRightInd/>
        <w:snapToGrid/>
        <w:spacing w:line="560" w:lineRule="exact"/>
        <w:ind w:firstLine="629"/>
        <w:textAlignment w:val="auto"/>
        <w:rPr>
          <w:rFonts w:hint="default" w:ascii="Times New Roman" w:hAnsi="Times New Roman" w:cs="Times New Roman"/>
          <w:highlight w:val="none"/>
          <w:lang w:val="en-US" w:eastAsia="zh-CN"/>
        </w:rPr>
      </w:pPr>
      <w:r>
        <w:rPr>
          <w:rFonts w:hint="default" w:ascii="Times New Roman" w:hAnsi="Times New Roman" w:eastAsia="仿宋_GB2312" w:cs="Times New Roman"/>
          <w:kern w:val="2"/>
          <w:sz w:val="32"/>
          <w:szCs w:val="32"/>
          <w:highlight w:val="none"/>
          <w:lang w:val="en-US" w:eastAsia="zh-CN" w:bidi="ar-SA"/>
        </w:rPr>
        <w:t xml:space="preserve">5.4 </w:t>
      </w:r>
      <w:r>
        <w:rPr>
          <w:rFonts w:hint="default" w:ascii="Times New Roman" w:hAnsi="Times New Roman" w:eastAsia="仿宋_GB2312" w:cs="Times New Roman"/>
          <w:sz w:val="32"/>
          <w:szCs w:val="32"/>
          <w:highlight w:val="none"/>
          <w:lang w:val="en-US" w:eastAsia="zh-CN"/>
        </w:rPr>
        <w:t>灼烧损失量的测定按照</w:t>
      </w:r>
      <w:r>
        <w:rPr>
          <w:rFonts w:hint="default" w:ascii="Times New Roman" w:hAnsi="Times New Roman" w:eastAsia="仿宋_GB2312" w:cs="Times New Roman"/>
          <w:sz w:val="32"/>
          <w:szCs w:val="32"/>
          <w:highlight w:val="none"/>
        </w:rPr>
        <w:t>GB/T 1419—2015</w:t>
      </w:r>
      <w:r>
        <w:rPr>
          <w:rFonts w:hint="default" w:ascii="Times New Roman" w:hAnsi="Times New Roman" w:eastAsia="仿宋_GB2312" w:cs="Times New Roman"/>
          <w:kern w:val="2"/>
          <w:sz w:val="32"/>
          <w:szCs w:val="32"/>
          <w:highlight w:val="none"/>
          <w:lang w:val="en-US" w:eastAsia="zh-CN" w:bidi="ar-SA"/>
        </w:rPr>
        <w:t>的规定执行。</w:t>
      </w:r>
    </w:p>
    <w:p>
      <w:pPr>
        <w:spacing w:line="560" w:lineRule="exact"/>
        <w:ind w:firstLine="629"/>
        <w:rPr>
          <w:rFonts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lang w:val="en-US" w:eastAsia="zh-CN"/>
        </w:rPr>
        <w:t>6</w:t>
      </w:r>
      <w:r>
        <w:rPr>
          <w:rFonts w:ascii="Times New Roman" w:hAnsi="Times New Roman" w:eastAsia="仿宋_GB2312" w:cs="Times New Roman"/>
          <w:sz w:val="32"/>
          <w:szCs w:val="32"/>
          <w:highlight w:val="none"/>
        </w:rPr>
        <w:t xml:space="preserve"> </w:t>
      </w:r>
      <w:r>
        <w:rPr>
          <w:rFonts w:hint="default" w:ascii="Times New Roman" w:hAnsi="Times New Roman" w:eastAsia="仿宋_GB2312" w:cs="Times New Roman"/>
          <w:sz w:val="32"/>
          <w:szCs w:val="32"/>
          <w:highlight w:val="none"/>
        </w:rPr>
        <w:t>附加说明</w:t>
      </w:r>
    </w:p>
    <w:p>
      <w:pPr>
        <w:spacing w:line="560" w:lineRule="exact"/>
        <w:ind w:firstLine="629"/>
        <w:rPr>
          <w:rFonts w:ascii="Times New Roman" w:hAnsi="Times New Roman" w:cs="Times New Roman"/>
          <w:highlight w:val="none"/>
        </w:rPr>
      </w:pPr>
      <w:r>
        <w:rPr>
          <w:rFonts w:hint="default" w:ascii="Times New Roman" w:hAnsi="Times New Roman" w:eastAsia="仿宋_GB2312" w:cs="Times New Roman"/>
          <w:sz w:val="32"/>
          <w:szCs w:val="32"/>
          <w:highlight w:val="none"/>
        </w:rPr>
        <w:t>本标准由</w:t>
      </w:r>
      <w:r>
        <w:rPr>
          <w:rFonts w:hint="default" w:ascii="Times New Roman" w:hAnsi="Times New Roman" w:eastAsia="仿宋_GB2312" w:cs="Times New Roman"/>
          <w:sz w:val="32"/>
          <w:szCs w:val="32"/>
          <w:highlight w:val="none"/>
          <w:lang w:eastAsia="zh-CN"/>
        </w:rPr>
        <w:t>广州期货交易所</w:t>
      </w:r>
      <w:r>
        <w:rPr>
          <w:rFonts w:hint="default" w:ascii="Times New Roman" w:hAnsi="Times New Roman" w:eastAsia="仿宋_GB2312" w:cs="Times New Roman"/>
          <w:sz w:val="32"/>
          <w:szCs w:val="32"/>
          <w:highlight w:val="none"/>
        </w:rPr>
        <w:t>负责解释。</w:t>
      </w:r>
    </w:p>
    <w:p>
      <w:pPr>
        <w:widowControl/>
        <w:spacing w:line="580" w:lineRule="exact"/>
        <w:ind w:firstLine="198" w:firstLineChars="62"/>
        <w:rPr>
          <w:rFonts w:hint="default" w:ascii="Times New Roman" w:hAnsi="Times New Roman" w:eastAsia="仿宋_GB2312" w:cs="Times New Roman"/>
          <w:color w:val="333333"/>
          <w:kern w:val="0"/>
          <w:sz w:val="32"/>
          <w:szCs w:val="32"/>
          <w:highlight w:val="none"/>
        </w:rPr>
      </w:pPr>
    </w:p>
    <w:p>
      <w:pPr>
        <w:rPr>
          <w:rFonts w:ascii="Times New Roman" w:hAnsi="Times New Roman" w:cs="Times New Roman"/>
          <w:highlight w:val="none"/>
        </w:rPr>
      </w:pPr>
    </w:p>
    <w:p>
      <w:pPr>
        <w:pStyle w:val="2"/>
        <w:rPr>
          <w:rFonts w:hint="default"/>
          <w:highlight w:val="none"/>
          <w:lang w:val="en-US" w:eastAsia="zh-CN"/>
        </w:rPr>
      </w:pPr>
    </w:p>
    <w:p>
      <w:pPr>
        <w:bidi w:val="0"/>
        <w:rPr>
          <w:rFonts w:hint="default" w:ascii="Times New Roman" w:hAnsi="Times New Roman" w:cs="Times New Roman"/>
          <w:highlight w:val="none"/>
          <w:lang w:val="en-US" w:eastAsia="zh-CN"/>
        </w:rPr>
      </w:pPr>
    </w:p>
    <w:p>
      <w:pPr>
        <w:pStyle w:val="2"/>
        <w:ind w:left="0" w:leftChars="0" w:firstLine="0" w:firstLineChars="0"/>
        <w:rPr>
          <w:rFonts w:hint="default" w:ascii="Times New Roman" w:hAnsi="Times New Roman" w:cs="Times New Roman"/>
          <w:highlight w:val="none"/>
          <w:lang w:val="en-US" w:eastAsia="zh-CN"/>
        </w:rPr>
      </w:pPr>
    </w:p>
    <w:sectPr>
      <w:footerReference r:id="rId5" w:type="default"/>
      <w:pgSz w:w="11906" w:h="16838"/>
      <w:pgMar w:top="2098" w:right="1588" w:bottom="1718" w:left="1588" w:header="851" w:footer="1134" w:gutter="0"/>
      <w:pgNumType w:fmt="decimal"/>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方正舒体"/>
    <w:panose1 w:val="02000000000000000000"/>
    <w:charset w:val="86"/>
    <w:family w:val="auto"/>
    <w:pitch w:val="default"/>
    <w:sig w:usb0="00000000" w:usb1="00000000" w:usb2="00000012" w:usb3="00000000" w:csb0="00040001" w:csb1="00000000"/>
  </w:font>
  <w:font w:name="等线">
    <w:panose1 w:val="02010600030101010101"/>
    <w:charset w:val="86"/>
    <w:family w:val="auto"/>
    <w:pitch w:val="default"/>
    <w:sig w:usb0="A00002BF" w:usb1="38CF7CFA" w:usb2="00000016" w:usb3="00000000" w:csb0="0004000F" w:csb1="00000000"/>
  </w:font>
  <w:font w:name="方正舒体">
    <w:panose1 w:val="02010601030101010101"/>
    <w:charset w:val="86"/>
    <w:family w:val="auto"/>
    <w:pitch w:val="default"/>
    <w:sig w:usb0="00000003"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snapToGrid w:val="0"/>
      <w:jc w:val="center"/>
      <w:rPr>
        <w:rFonts w:hint="eastAsia" w:ascii="等线" w:hAnsi="等线" w:eastAsia="等线" w:cs="Times New Roman"/>
        <w:kern w:val="2"/>
        <w:sz w:val="18"/>
        <w:szCs w:val="18"/>
        <w:lang w:val="en-US" w:eastAsia="zh-CN" w:bidi="ar-SA"/>
      </w:rPr>
    </w:pPr>
    <w:r>
      <w:rPr>
        <w:rFonts w:ascii="等线" w:hAnsi="等线" w:eastAsia="等线" w:cs="Times New Roman"/>
        <w:kern w:val="2"/>
        <w:sz w:val="18"/>
        <w:szCs w:val="18"/>
        <w:lang w:val="en-US" w:eastAsia="zh-CN" w:bidi="ar-SA"/>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widowControl w:val="0"/>
                            <w:snapToGrid w:val="0"/>
                            <w:ind w:left="0" w:leftChars="0" w:firstLine="0" w:firstLineChars="0"/>
                            <w:jc w:val="left"/>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 xml:space="preserve">— </w:t>
                          </w:r>
                          <w:r>
                            <w:rPr>
                              <w:rFonts w:hint="eastAsia" w:ascii="宋体" w:hAnsi="宋体" w:eastAsia="宋体" w:cs="宋体"/>
                              <w:kern w:val="2"/>
                              <w:sz w:val="28"/>
                              <w:szCs w:val="28"/>
                              <w:lang w:val="en-US" w:eastAsia="zh-CN" w:bidi="ar-SA"/>
                            </w:rPr>
                            <w:fldChar w:fldCharType="begin"/>
                          </w:r>
                          <w:r>
                            <w:rPr>
                              <w:rFonts w:hint="eastAsia" w:ascii="宋体" w:hAnsi="宋体" w:eastAsia="宋体" w:cs="宋体"/>
                              <w:kern w:val="2"/>
                              <w:sz w:val="28"/>
                              <w:szCs w:val="28"/>
                              <w:lang w:val="en-US" w:eastAsia="zh-CN" w:bidi="ar-SA"/>
                            </w:rPr>
                            <w:instrText xml:space="preserve"> PAGE  \* MERGEFORMAT </w:instrText>
                          </w:r>
                          <w:r>
                            <w:rPr>
                              <w:rFonts w:hint="eastAsia" w:ascii="宋体" w:hAnsi="宋体" w:eastAsia="宋体" w:cs="宋体"/>
                              <w:kern w:val="2"/>
                              <w:sz w:val="28"/>
                              <w:szCs w:val="28"/>
                              <w:lang w:val="en-US" w:eastAsia="zh-CN" w:bidi="ar-SA"/>
                            </w:rPr>
                            <w:fldChar w:fldCharType="separate"/>
                          </w:r>
                          <w:r>
                            <w:rPr>
                              <w:rFonts w:hint="eastAsia" w:ascii="宋体" w:hAnsi="宋体" w:eastAsia="宋体" w:cs="宋体"/>
                              <w:kern w:val="2"/>
                              <w:sz w:val="28"/>
                              <w:szCs w:val="28"/>
                              <w:lang w:val="en-US" w:eastAsia="zh-CN" w:bidi="ar-SA"/>
                            </w:rPr>
                            <w:t>1</w:t>
                          </w:r>
                          <w:r>
                            <w:rPr>
                              <w:rFonts w:hint="eastAsia" w:ascii="宋体" w:hAnsi="宋体" w:eastAsia="宋体" w:cs="宋体"/>
                              <w:kern w:val="2"/>
                              <w:sz w:val="28"/>
                              <w:szCs w:val="28"/>
                              <w:lang w:val="en-US" w:eastAsia="zh-CN" w:bidi="ar-SA"/>
                            </w:rPr>
                            <w:fldChar w:fldCharType="end"/>
                          </w:r>
                          <w:r>
                            <w:rPr>
                              <w:rFonts w:hint="eastAsia" w:ascii="宋体" w:hAnsi="宋体" w:eastAsia="宋体" w:cs="宋体"/>
                              <w:kern w:val="2"/>
                              <w:sz w:val="28"/>
                              <w:szCs w:val="28"/>
                              <w:lang w:val="en-US" w:eastAsia="zh-CN" w:bidi="ar-SA"/>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1F+UJskBAACZAwAADgAAAGRycy9lMm9Eb2MueG1srVPNjtMwEL4j8Q6W&#10;79TZaoW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uHEPW+K0uU60G4PSRsovSWK4ywU2GcWGE3bVdeicf3kvXw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DUX5QmyQEAAJkDAAAOAAAAAAAAAAEAIAAAAB4BAABkcnMvZTJvRG9j&#10;LnhtbFBLBQYAAAAABgAGAFkBAABZBQAAAAA=&#10;">
              <v:fill on="f" focussize="0,0"/>
              <v:stroke on="f"/>
              <v:imagedata o:title=""/>
              <o:lock v:ext="edit" aspectratio="f"/>
              <v:textbox inset="0mm,0mm,0mm,0mm" style="mso-fit-shape-to-text:t;">
                <w:txbxContent>
                  <w:p>
                    <w:pPr>
                      <w:widowControl w:val="0"/>
                      <w:snapToGrid w:val="0"/>
                      <w:ind w:left="0" w:leftChars="0" w:firstLine="0" w:firstLineChars="0"/>
                      <w:jc w:val="left"/>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 xml:space="preserve">— </w:t>
                    </w:r>
                    <w:r>
                      <w:rPr>
                        <w:rFonts w:hint="eastAsia" w:ascii="宋体" w:hAnsi="宋体" w:eastAsia="宋体" w:cs="宋体"/>
                        <w:kern w:val="2"/>
                        <w:sz w:val="28"/>
                        <w:szCs w:val="28"/>
                        <w:lang w:val="en-US" w:eastAsia="zh-CN" w:bidi="ar-SA"/>
                      </w:rPr>
                      <w:fldChar w:fldCharType="begin"/>
                    </w:r>
                    <w:r>
                      <w:rPr>
                        <w:rFonts w:hint="eastAsia" w:ascii="宋体" w:hAnsi="宋体" w:eastAsia="宋体" w:cs="宋体"/>
                        <w:kern w:val="2"/>
                        <w:sz w:val="28"/>
                        <w:szCs w:val="28"/>
                        <w:lang w:val="en-US" w:eastAsia="zh-CN" w:bidi="ar-SA"/>
                      </w:rPr>
                      <w:instrText xml:space="preserve"> PAGE  \* MERGEFORMAT </w:instrText>
                    </w:r>
                    <w:r>
                      <w:rPr>
                        <w:rFonts w:hint="eastAsia" w:ascii="宋体" w:hAnsi="宋体" w:eastAsia="宋体" w:cs="宋体"/>
                        <w:kern w:val="2"/>
                        <w:sz w:val="28"/>
                        <w:szCs w:val="28"/>
                        <w:lang w:val="en-US" w:eastAsia="zh-CN" w:bidi="ar-SA"/>
                      </w:rPr>
                      <w:fldChar w:fldCharType="separate"/>
                    </w:r>
                    <w:r>
                      <w:rPr>
                        <w:rFonts w:hint="eastAsia" w:ascii="宋体" w:hAnsi="宋体" w:eastAsia="宋体" w:cs="宋体"/>
                        <w:kern w:val="2"/>
                        <w:sz w:val="28"/>
                        <w:szCs w:val="28"/>
                        <w:lang w:val="en-US" w:eastAsia="zh-CN" w:bidi="ar-SA"/>
                      </w:rPr>
                      <w:t>1</w:t>
                    </w:r>
                    <w:r>
                      <w:rPr>
                        <w:rFonts w:hint="eastAsia" w:ascii="宋体" w:hAnsi="宋体" w:eastAsia="宋体" w:cs="宋体"/>
                        <w:kern w:val="2"/>
                        <w:sz w:val="28"/>
                        <w:szCs w:val="28"/>
                        <w:lang w:val="en-US" w:eastAsia="zh-CN" w:bidi="ar-SA"/>
                      </w:rPr>
                      <w:fldChar w:fldCharType="end"/>
                    </w:r>
                    <w:r>
                      <w:rPr>
                        <w:rFonts w:hint="eastAsia" w:ascii="宋体" w:hAnsi="宋体" w:eastAsia="宋体" w:cs="宋体"/>
                        <w:kern w:val="2"/>
                        <w:sz w:val="28"/>
                        <w:szCs w:val="28"/>
                        <w:lang w:val="en-US" w:eastAsia="zh-CN" w:bidi="ar-SA"/>
                      </w:rP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4">
    <w:p>
      <w:pPr>
        <w:spacing w:line="240" w:lineRule="auto"/>
        <w:ind w:firstLine="640"/>
      </w:pPr>
      <w:r>
        <w:separator/>
      </w:r>
    </w:p>
  </w:footnote>
  <w:footnote w:type="continuationSeparator" w:id="5">
    <w:p>
      <w:pPr>
        <w:spacing w:line="240" w:lineRule="auto"/>
        <w:ind w:firstLine="640"/>
      </w:pPr>
      <w:r>
        <w:continuationSeparator/>
      </w:r>
    </w:p>
  </w:footnote>
  <w:footnote w:id="0">
    <w:p>
      <w:pPr>
        <w:pStyle w:val="6"/>
        <w:keepNext w:val="0"/>
        <w:keepLines w:val="0"/>
        <w:pageBreakBefore w:val="0"/>
        <w:widowControl w:val="0"/>
        <w:kinsoku/>
        <w:wordWrap/>
        <w:overflowPunct/>
        <w:topLinePunct w:val="0"/>
        <w:autoSpaceDE/>
        <w:autoSpaceDN/>
        <w:bidi w:val="0"/>
        <w:adjustRightInd/>
        <w:snapToGrid w:val="0"/>
        <w:spacing w:line="240" w:lineRule="auto"/>
        <w:textAlignment w:val="auto"/>
        <w:rPr>
          <w:rFonts w:hint="default" w:eastAsia="仿宋_GB2312"/>
          <w:highlight w:val="none"/>
          <w:lang w:val="en-US" w:eastAsia="zh-CN"/>
        </w:rPr>
      </w:pPr>
      <w:r>
        <w:rPr>
          <w:rStyle w:val="11"/>
          <w:rFonts w:ascii="Times New Roman" w:hAnsi="Times New Roman" w:cs="Times New Roman"/>
          <w:highlight w:val="none"/>
        </w:rPr>
        <w:footnoteRef/>
      </w:r>
      <w:r>
        <w:rPr>
          <w:rFonts w:ascii="Times New Roman" w:hAnsi="Times New Roman" w:cs="Times New Roman"/>
          <w:highlight w:val="none"/>
        </w:rPr>
        <w:t xml:space="preserve"> </w:t>
      </w:r>
      <w:r>
        <w:rPr>
          <w:rFonts w:hint="eastAsia" w:ascii="Times New Roman" w:hAnsi="Times New Roman" w:cs="Times New Roman"/>
          <w:highlight w:val="none"/>
        </w:rPr>
        <w:t>X射线荧光光谱法</w:t>
      </w:r>
      <w:r>
        <w:rPr>
          <w:rFonts w:hint="eastAsia" w:ascii="Times New Roman" w:hAnsi="Times New Roman" w:cs="Times New Roman"/>
          <w:highlight w:val="none"/>
          <w:lang w:val="en-US" w:eastAsia="zh-CN"/>
        </w:rPr>
        <w:t>等</w:t>
      </w:r>
      <w:r>
        <w:rPr>
          <w:rFonts w:hint="eastAsia"/>
          <w:highlight w:val="none"/>
          <w:lang w:val="en-US" w:eastAsia="zh-CN"/>
        </w:rPr>
        <w:t>其他分析方法的检测结果可作为铂含量测定的参考。</w:t>
      </w:r>
    </w:p>
  </w:footnote>
  <w:footnote w:id="1">
    <w:p>
      <w:pPr>
        <w:pStyle w:val="6"/>
        <w:keepNext w:val="0"/>
        <w:keepLines w:val="0"/>
        <w:pageBreakBefore w:val="0"/>
        <w:widowControl w:val="0"/>
        <w:kinsoku/>
        <w:wordWrap/>
        <w:overflowPunct/>
        <w:topLinePunct w:val="0"/>
        <w:autoSpaceDE/>
        <w:autoSpaceDN/>
        <w:bidi w:val="0"/>
        <w:adjustRightInd/>
        <w:snapToGrid w:val="0"/>
        <w:spacing w:line="240" w:lineRule="auto"/>
        <w:textAlignment w:val="auto"/>
        <w:rPr>
          <w:rFonts w:hint="default" w:eastAsia="仿宋_GB2312"/>
          <w:highlight w:val="none"/>
          <w:lang w:val="en-US" w:eastAsia="zh-CN"/>
        </w:rPr>
      </w:pPr>
      <w:r>
        <w:rPr>
          <w:rStyle w:val="11"/>
          <w:rFonts w:ascii="Times New Roman" w:hAnsi="Times New Roman" w:cs="Times New Roman"/>
          <w:highlight w:val="none"/>
        </w:rPr>
        <w:footnoteRef/>
      </w:r>
      <w:r>
        <w:rPr>
          <w:rFonts w:ascii="Times New Roman" w:hAnsi="Times New Roman" w:cs="Times New Roman"/>
          <w:highlight w:val="none"/>
        </w:rPr>
        <w:t xml:space="preserve"> </w:t>
      </w:r>
      <w:r>
        <w:rPr>
          <w:rFonts w:hint="eastAsia" w:ascii="Times New Roman" w:hAnsi="Times New Roman" w:cs="Times New Roman"/>
          <w:highlight w:val="none"/>
        </w:rPr>
        <w:t>X射线荧光光谱法</w:t>
      </w:r>
      <w:r>
        <w:rPr>
          <w:rFonts w:hint="eastAsia" w:ascii="Times New Roman" w:hAnsi="Times New Roman" w:cs="Times New Roman"/>
          <w:highlight w:val="none"/>
          <w:lang w:val="en-US" w:eastAsia="zh-CN"/>
        </w:rPr>
        <w:t>等</w:t>
      </w:r>
      <w:r>
        <w:rPr>
          <w:rFonts w:hint="eastAsia"/>
          <w:highlight w:val="none"/>
          <w:lang w:val="en-US" w:eastAsia="zh-CN"/>
        </w:rPr>
        <w:t>其他分析方法的检测结果可作为铂含量测定的参考。</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B911800"/>
    <w:multiLevelType w:val="singleLevel"/>
    <w:tmpl w:val="CB911800"/>
    <w:lvl w:ilvl="0" w:tentative="0">
      <w:start w:val="1"/>
      <w:numFmt w:val="chineseCounting"/>
      <w:suff w:val="nothing"/>
      <w:lvlText w:val="第%1条 "/>
      <w:lvlJc w:val="left"/>
      <w:pPr>
        <w:tabs>
          <w:tab w:val="left" w:pos="0"/>
        </w:tabs>
        <w:ind w:left="0" w:leftChars="0" w:firstLine="40"/>
      </w:pPr>
      <w:rPr>
        <w:rFonts w:hint="eastAsia" w:ascii="宋体" w:hAnsi="宋体" w:eastAsia="仿宋_GB2312" w:cs="仿宋_GB2312"/>
        <w:b/>
        <w:bCs/>
        <w:sz w:val="32"/>
      </w:rPr>
    </w:lvl>
  </w:abstractNum>
  <w:abstractNum w:abstractNumId="1">
    <w:nsid w:val="77573E04"/>
    <w:multiLevelType w:val="singleLevel"/>
    <w:tmpl w:val="77573E04"/>
    <w:lvl w:ilvl="0" w:tentative="0">
      <w:start w:val="1"/>
      <w:numFmt w:val="chineseCounting"/>
      <w:pStyle w:val="14"/>
      <w:suff w:val="nothing"/>
      <w:lvlText w:val="第%1条 "/>
      <w:lvlJc w:val="left"/>
      <w:pPr>
        <w:tabs>
          <w:tab w:val="left" w:pos="0"/>
        </w:tabs>
        <w:ind w:left="-40" w:leftChars="0" w:firstLine="40"/>
      </w:pPr>
      <w:rPr>
        <w:rFonts w:hint="eastAsia" w:ascii="宋体" w:hAnsi="宋体" w:eastAsia="仿宋_GB2312" w:cs="仿宋_GB2312"/>
        <w:b/>
        <w:bCs/>
        <w:sz w:val="32"/>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4"/>
    <w:footnote w:id="5"/>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M2YTAwMjMxODQwMGNiMWU0NTdjYzZiNzA0OWE3NTQifQ=="/>
  </w:docVars>
  <w:rsids>
    <w:rsidRoot w:val="682E6329"/>
    <w:rsid w:val="009F4C1B"/>
    <w:rsid w:val="00C00EDD"/>
    <w:rsid w:val="011D3433"/>
    <w:rsid w:val="03715A3B"/>
    <w:rsid w:val="04C04179"/>
    <w:rsid w:val="05DF290A"/>
    <w:rsid w:val="069C5C4E"/>
    <w:rsid w:val="072D1C1C"/>
    <w:rsid w:val="07402597"/>
    <w:rsid w:val="07F94A8C"/>
    <w:rsid w:val="0876673A"/>
    <w:rsid w:val="08C722E0"/>
    <w:rsid w:val="092667F9"/>
    <w:rsid w:val="094B7B50"/>
    <w:rsid w:val="0A1B6E07"/>
    <w:rsid w:val="0A707779"/>
    <w:rsid w:val="0AF67CCE"/>
    <w:rsid w:val="0CBD3D04"/>
    <w:rsid w:val="0E5216BE"/>
    <w:rsid w:val="0EF35AF5"/>
    <w:rsid w:val="115135FC"/>
    <w:rsid w:val="118624B1"/>
    <w:rsid w:val="118B2EDC"/>
    <w:rsid w:val="12BE66E5"/>
    <w:rsid w:val="130878DB"/>
    <w:rsid w:val="13842F8F"/>
    <w:rsid w:val="145B2071"/>
    <w:rsid w:val="154B3EA2"/>
    <w:rsid w:val="15AC248F"/>
    <w:rsid w:val="15AC5896"/>
    <w:rsid w:val="17DA3A32"/>
    <w:rsid w:val="18356552"/>
    <w:rsid w:val="18BB609E"/>
    <w:rsid w:val="19250A5C"/>
    <w:rsid w:val="192526FA"/>
    <w:rsid w:val="19315C3E"/>
    <w:rsid w:val="19BE5CFF"/>
    <w:rsid w:val="1A0503BE"/>
    <w:rsid w:val="1BA97991"/>
    <w:rsid w:val="1C061731"/>
    <w:rsid w:val="1C6F5E52"/>
    <w:rsid w:val="1CB25845"/>
    <w:rsid w:val="1F3A25B2"/>
    <w:rsid w:val="1F6F5E7B"/>
    <w:rsid w:val="1F802311"/>
    <w:rsid w:val="1FFF5964"/>
    <w:rsid w:val="2041498A"/>
    <w:rsid w:val="21ED04AD"/>
    <w:rsid w:val="23E140A3"/>
    <w:rsid w:val="24D07455"/>
    <w:rsid w:val="254A5DB2"/>
    <w:rsid w:val="25B03DE2"/>
    <w:rsid w:val="26EF045E"/>
    <w:rsid w:val="27170DE0"/>
    <w:rsid w:val="27842A64"/>
    <w:rsid w:val="28A94798"/>
    <w:rsid w:val="28EE2036"/>
    <w:rsid w:val="2A1D0FA5"/>
    <w:rsid w:val="2B0C2C08"/>
    <w:rsid w:val="2C03701C"/>
    <w:rsid w:val="33EB24E2"/>
    <w:rsid w:val="34375F11"/>
    <w:rsid w:val="343A0036"/>
    <w:rsid w:val="348C6BC9"/>
    <w:rsid w:val="360C7D3E"/>
    <w:rsid w:val="36AD3C61"/>
    <w:rsid w:val="37FBC644"/>
    <w:rsid w:val="38C11E6F"/>
    <w:rsid w:val="39A92E94"/>
    <w:rsid w:val="3A3F3B93"/>
    <w:rsid w:val="3AA84863"/>
    <w:rsid w:val="3CDF7C7C"/>
    <w:rsid w:val="3E661EED"/>
    <w:rsid w:val="3EB783ED"/>
    <w:rsid w:val="3F710D7C"/>
    <w:rsid w:val="3F8D4B02"/>
    <w:rsid w:val="3FE8403A"/>
    <w:rsid w:val="41381334"/>
    <w:rsid w:val="425F5A0F"/>
    <w:rsid w:val="425F7C17"/>
    <w:rsid w:val="42E303BC"/>
    <w:rsid w:val="43BB4BF7"/>
    <w:rsid w:val="45505343"/>
    <w:rsid w:val="45A560D2"/>
    <w:rsid w:val="47251A46"/>
    <w:rsid w:val="49787384"/>
    <w:rsid w:val="49F8645A"/>
    <w:rsid w:val="4A336951"/>
    <w:rsid w:val="4A860F54"/>
    <w:rsid w:val="4B5856BF"/>
    <w:rsid w:val="4CEF2847"/>
    <w:rsid w:val="4D800905"/>
    <w:rsid w:val="4E241284"/>
    <w:rsid w:val="4E2631B4"/>
    <w:rsid w:val="4E3B778B"/>
    <w:rsid w:val="4F676753"/>
    <w:rsid w:val="514D4100"/>
    <w:rsid w:val="54A24C16"/>
    <w:rsid w:val="54C24C44"/>
    <w:rsid w:val="56302655"/>
    <w:rsid w:val="56695CBC"/>
    <w:rsid w:val="577F954E"/>
    <w:rsid w:val="57E829AC"/>
    <w:rsid w:val="58B8403A"/>
    <w:rsid w:val="5A761DA9"/>
    <w:rsid w:val="5A8705A1"/>
    <w:rsid w:val="5BD07862"/>
    <w:rsid w:val="5C423CB6"/>
    <w:rsid w:val="5CB656AD"/>
    <w:rsid w:val="5E9D6F51"/>
    <w:rsid w:val="5F192083"/>
    <w:rsid w:val="61486D87"/>
    <w:rsid w:val="616A4F8C"/>
    <w:rsid w:val="62A846FE"/>
    <w:rsid w:val="635240D1"/>
    <w:rsid w:val="64053424"/>
    <w:rsid w:val="64176CBE"/>
    <w:rsid w:val="64210C2B"/>
    <w:rsid w:val="642E51D5"/>
    <w:rsid w:val="66013FB2"/>
    <w:rsid w:val="67174C49"/>
    <w:rsid w:val="682E6329"/>
    <w:rsid w:val="69E70BB8"/>
    <w:rsid w:val="6AAD235A"/>
    <w:rsid w:val="6B8659DF"/>
    <w:rsid w:val="6C82621D"/>
    <w:rsid w:val="6DAE1BB7"/>
    <w:rsid w:val="702E7EDC"/>
    <w:rsid w:val="718E11A5"/>
    <w:rsid w:val="72760055"/>
    <w:rsid w:val="762F72ED"/>
    <w:rsid w:val="76FD109D"/>
    <w:rsid w:val="77CA3447"/>
    <w:rsid w:val="78A4306F"/>
    <w:rsid w:val="7AAD2427"/>
    <w:rsid w:val="7BDAAC6D"/>
    <w:rsid w:val="7C305BDA"/>
    <w:rsid w:val="7C891C64"/>
    <w:rsid w:val="7CC32ED8"/>
    <w:rsid w:val="7CFBAE47"/>
    <w:rsid w:val="7D604174"/>
    <w:rsid w:val="7D6E7B8E"/>
    <w:rsid w:val="7E6FAA9F"/>
    <w:rsid w:val="7EB91BD7"/>
    <w:rsid w:val="7EEC04EB"/>
    <w:rsid w:val="7FC62AAE"/>
    <w:rsid w:val="9EBFB478"/>
    <w:rsid w:val="A6F3D5B6"/>
    <w:rsid w:val="CDBB0E91"/>
    <w:rsid w:val="EF9F1083"/>
    <w:rsid w:val="EFF76B87"/>
    <w:rsid w:val="FAE72299"/>
    <w:rsid w:val="FD7F52D7"/>
    <w:rsid w:val="FDF8939D"/>
    <w:rsid w:val="FFEF207F"/>
    <w:rsid w:val="FFF755D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qFormat="1"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560" w:lineRule="exact"/>
      <w:ind w:firstLine="420" w:firstLineChars="200"/>
      <w:jc w:val="both"/>
    </w:pPr>
    <w:rPr>
      <w:rFonts w:eastAsia="仿宋_GB2312" w:asciiTheme="minorAscii" w:hAnsiTheme="minorAscii" w:cstheme="minorBidi"/>
      <w:kern w:val="2"/>
      <w:sz w:val="32"/>
      <w:szCs w:val="24"/>
      <w:lang w:val="en-US" w:eastAsia="zh-CN" w:bidi="ar-SA"/>
    </w:rPr>
  </w:style>
  <w:style w:type="character" w:default="1" w:styleId="10">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table of figures"/>
    <w:basedOn w:val="1"/>
    <w:next w:val="1"/>
    <w:unhideWhenUsed/>
    <w:qFormat/>
    <w:uiPriority w:val="0"/>
    <w:pPr>
      <w:widowControl w:val="0"/>
      <w:ind w:left="200" w:leftChars="200" w:hanging="200" w:hangingChars="200"/>
      <w:jc w:val="both"/>
    </w:pPr>
    <w:rPr>
      <w:rFonts w:ascii="Times New Roman" w:hAnsi="Times New Roman" w:eastAsia="宋体" w:cs="Times New Roman"/>
      <w:kern w:val="2"/>
      <w:sz w:val="21"/>
      <w:szCs w:val="24"/>
      <w:lang w:val="en-US" w:eastAsia="zh-CN" w:bidi="ar-SA"/>
    </w:rPr>
  </w:style>
  <w:style w:type="paragraph" w:styleId="3">
    <w:name w:val="annotation text"/>
    <w:basedOn w:val="1"/>
    <w:qFormat/>
    <w:uiPriority w:val="0"/>
    <w:pPr>
      <w:jc w:val="left"/>
    </w:p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footnote text"/>
    <w:basedOn w:val="1"/>
    <w:qFormat/>
    <w:uiPriority w:val="0"/>
    <w:pPr>
      <w:snapToGrid w:val="0"/>
      <w:jc w:val="left"/>
    </w:pPr>
    <w:rPr>
      <w:sz w:val="18"/>
    </w:rPr>
  </w:style>
  <w:style w:type="paragraph" w:styleId="7">
    <w:name w:val="Normal (Web)"/>
    <w:basedOn w:val="1"/>
    <w:qFormat/>
    <w:uiPriority w:val="0"/>
    <w:pPr>
      <w:spacing w:before="0" w:beforeAutospacing="1" w:after="0" w:afterAutospacing="1"/>
      <w:ind w:left="0" w:right="0"/>
      <w:jc w:val="left"/>
    </w:pPr>
    <w:rPr>
      <w:kern w:val="0"/>
      <w:sz w:val="24"/>
      <w:lang w:val="en-US" w:eastAsia="zh-CN" w:bidi="ar"/>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footnote reference"/>
    <w:basedOn w:val="10"/>
    <w:qFormat/>
    <w:uiPriority w:val="0"/>
    <w:rPr>
      <w:vertAlign w:val="superscript"/>
    </w:rPr>
  </w:style>
  <w:style w:type="paragraph" w:customStyle="1" w:styleId="12">
    <w:name w:val="材料正文"/>
    <w:basedOn w:val="1"/>
    <w:qFormat/>
    <w:uiPriority w:val="0"/>
    <w:pPr>
      <w:spacing w:line="580" w:lineRule="exact"/>
      <w:ind w:firstLine="200" w:firstLineChars="200"/>
    </w:pPr>
    <w:rPr>
      <w:rFonts w:ascii="Times New Roman" w:hAnsi="Times New Roman" w:eastAsia="仿宋_GB2312"/>
      <w:sz w:val="32"/>
    </w:rPr>
  </w:style>
  <w:style w:type="paragraph" w:customStyle="1" w:styleId="13">
    <w:name w:val="普通(网站)1"/>
    <w:qFormat/>
    <w:uiPriority w:val="0"/>
    <w:pPr>
      <w:widowControl/>
      <w:spacing w:before="100" w:beforeAutospacing="1" w:after="100" w:afterAutospacing="1"/>
      <w:jc w:val="left"/>
    </w:pPr>
    <w:rPr>
      <w:rFonts w:ascii="宋体" w:hAnsi="宋体" w:eastAsia="宋体" w:cs="宋体"/>
      <w:color w:val="000000"/>
      <w:kern w:val="0"/>
      <w:sz w:val="24"/>
      <w:szCs w:val="24"/>
      <w:lang w:val="en-US" w:eastAsia="zh-CN" w:bidi="ar-SA"/>
    </w:rPr>
  </w:style>
  <w:style w:type="paragraph" w:customStyle="1" w:styleId="14">
    <w:name w:val="表格样式"/>
    <w:basedOn w:val="1"/>
    <w:qFormat/>
    <w:uiPriority w:val="0"/>
    <w:pPr>
      <w:numPr>
        <w:ilvl w:val="0"/>
        <w:numId w:val="1"/>
      </w:numPr>
      <w:spacing w:line="560" w:lineRule="exact"/>
      <w:ind w:left="-40" w:firstLine="40"/>
    </w:pPr>
    <w:rPr>
      <w:rFonts w:ascii="Times New Roman" w:hAnsi="Times New Roman" w:eastAsia="仿宋_GB2312" w:cs="Times New Roman"/>
      <w:sz w:val="32"/>
      <w:szCs w:val="32"/>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18</Pages>
  <Words>6140</Words>
  <Characters>6637</Characters>
  <Lines>0</Lines>
  <Paragraphs>0</Paragraphs>
  <TotalTime>1</TotalTime>
  <ScaleCrop>false</ScaleCrop>
  <LinksUpToDate>false</LinksUpToDate>
  <CharactersWithSpaces>6770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2025-05-29T00:39:00Z</dcterms:created>
  <dc:creator>admin</dc:creator>
  <cp:lastModifiedBy>马琴</cp:lastModifiedBy>
  <cp:lastPrinted>2025-09-01T00:00:00Z</cp:lastPrinted>
  <dcterms:modified xsi:type="dcterms:W3CDTF">2025-11-11T08:02:00Z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1B237162394B4AC5B21E177C40853451_13</vt:lpwstr>
  </property>
</Properties>
</file>